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8E5" w:rsidRDefault="008A08E5" w:rsidP="008A08E5">
      <w:pPr>
        <w:tabs>
          <w:tab w:val="left" w:pos="8787"/>
        </w:tabs>
        <w:jc w:val="center"/>
        <w:rPr>
          <w:lang w:val="uk-UA"/>
        </w:rPr>
      </w:pPr>
      <w:r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492877CB" wp14:editId="30887858">
            <wp:extent cx="431800" cy="619125"/>
            <wp:effectExtent l="0" t="0" r="635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06" b="-606"/>
                    <a:stretch/>
                  </pic:blipFill>
                  <pic:spPr bwMode="auto">
                    <a:xfrm>
                      <a:off x="0" y="0"/>
                      <a:ext cx="432000" cy="619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8E5" w:rsidRPr="00760EA2" w:rsidRDefault="008A08E5" w:rsidP="008A08E5">
      <w:pPr>
        <w:tabs>
          <w:tab w:val="left" w:pos="8787"/>
        </w:tabs>
        <w:jc w:val="center"/>
        <w:rPr>
          <w:b/>
          <w:sz w:val="28"/>
          <w:szCs w:val="28"/>
          <w:lang w:val="uk-UA"/>
        </w:rPr>
      </w:pPr>
      <w:r w:rsidRPr="00760EA2">
        <w:rPr>
          <w:b/>
          <w:sz w:val="28"/>
          <w:szCs w:val="28"/>
          <w:lang w:val="uk-UA"/>
        </w:rPr>
        <w:t>ХМЕЛЬНИЦЬКА МІСЬКА РАДА</w:t>
      </w:r>
    </w:p>
    <w:p w:rsidR="008A08E5" w:rsidRPr="00760EA2" w:rsidRDefault="008A08E5" w:rsidP="008A08E5">
      <w:pPr>
        <w:tabs>
          <w:tab w:val="left" w:pos="8787"/>
        </w:tabs>
        <w:jc w:val="center"/>
        <w:rPr>
          <w:sz w:val="28"/>
          <w:szCs w:val="28"/>
          <w:lang w:val="uk-UA"/>
        </w:rPr>
      </w:pPr>
      <w:r w:rsidRPr="00760EA2">
        <w:rPr>
          <w:sz w:val="28"/>
          <w:szCs w:val="28"/>
          <w:lang w:val="uk-UA"/>
        </w:rPr>
        <w:t>УПРАВЛІННЯ ЕКОНОМІКИ</w:t>
      </w:r>
    </w:p>
    <w:p w:rsidR="008A08E5" w:rsidRPr="00C25911" w:rsidRDefault="008A08E5" w:rsidP="008A08E5">
      <w:pPr>
        <w:tabs>
          <w:tab w:val="left" w:pos="8787"/>
        </w:tabs>
        <w:jc w:val="center"/>
        <w:rPr>
          <w:b/>
          <w:lang w:val="uk-UA"/>
        </w:rPr>
      </w:pPr>
      <w:r w:rsidRPr="00C25911">
        <w:rPr>
          <w:b/>
          <w:lang w:val="uk-UA"/>
        </w:rPr>
        <w:t xml:space="preserve">вул. Гагаріна, 3, м. Хмельницький, 29000,  </w:t>
      </w:r>
      <w:proofErr w:type="spellStart"/>
      <w:r w:rsidRPr="00C25911">
        <w:rPr>
          <w:b/>
          <w:bCs/>
          <w:lang w:val="uk-UA"/>
        </w:rPr>
        <w:t>тел</w:t>
      </w:r>
      <w:proofErr w:type="spellEnd"/>
      <w:r w:rsidRPr="00C25911">
        <w:rPr>
          <w:b/>
          <w:bCs/>
          <w:lang w:val="uk-UA"/>
        </w:rPr>
        <w:t xml:space="preserve"> (0382) 76-21-12, 76-44-26, факс 76-43-46</w:t>
      </w:r>
    </w:p>
    <w:p w:rsidR="008A08E5" w:rsidRPr="00C25911" w:rsidRDefault="008A08E5" w:rsidP="008A08E5">
      <w:pPr>
        <w:ind w:left="-180"/>
        <w:jc w:val="center"/>
        <w:rPr>
          <w:b/>
          <w:bCs/>
          <w:lang w:val="uk-UA"/>
        </w:rPr>
      </w:pPr>
      <w:r w:rsidRPr="00C25911">
        <w:rPr>
          <w:b/>
          <w:bCs/>
          <w:lang w:val="en-US"/>
        </w:rPr>
        <w:t>E</w:t>
      </w:r>
      <w:r w:rsidRPr="00C25911">
        <w:rPr>
          <w:b/>
          <w:bCs/>
          <w:lang w:val="de-DE"/>
        </w:rPr>
        <w:t>-mail</w:t>
      </w:r>
      <w:r w:rsidRPr="00C25911">
        <w:rPr>
          <w:b/>
          <w:bCs/>
          <w:lang w:val="uk-UA"/>
        </w:rPr>
        <w:t xml:space="preserve">: </w:t>
      </w:r>
      <w:proofErr w:type="spellStart"/>
      <w:r w:rsidRPr="00C25911">
        <w:rPr>
          <w:rStyle w:val="a3"/>
          <w:b/>
          <w:bCs/>
          <w:color w:val="auto"/>
          <w:u w:val="none"/>
          <w:lang w:val="uk-UA"/>
        </w:rPr>
        <w:t>economy</w:t>
      </w:r>
      <w:proofErr w:type="spellEnd"/>
      <w:r w:rsidRPr="00C25911">
        <w:rPr>
          <w:rStyle w:val="a3"/>
          <w:b/>
          <w:bCs/>
          <w:color w:val="auto"/>
          <w:u w:val="none"/>
          <w:lang w:val="en-US"/>
        </w:rPr>
        <w:t>@khm.gov.ua</w:t>
      </w:r>
      <w:r w:rsidRPr="00C25911">
        <w:rPr>
          <w:b/>
          <w:bCs/>
          <w:lang w:val="uk-UA"/>
        </w:rPr>
        <w:t>,</w:t>
      </w:r>
      <w:r w:rsidRPr="00C25911">
        <w:rPr>
          <w:b/>
          <w:bCs/>
          <w:lang w:val="de-DE"/>
        </w:rPr>
        <w:t xml:space="preserve"> </w:t>
      </w:r>
      <w:r w:rsidRPr="00C25911">
        <w:rPr>
          <w:rStyle w:val="a3"/>
          <w:b/>
          <w:bCs/>
          <w:color w:val="auto"/>
          <w:u w:val="none"/>
          <w:lang w:val="de-DE"/>
        </w:rPr>
        <w:t>http://khm</w:t>
      </w:r>
      <w:r w:rsidRPr="00C25911">
        <w:rPr>
          <w:rStyle w:val="a3"/>
          <w:b/>
          <w:bCs/>
          <w:color w:val="auto"/>
          <w:u w:val="none"/>
          <w:lang w:val="uk-UA"/>
        </w:rPr>
        <w:t>.</w:t>
      </w:r>
      <w:r w:rsidRPr="00C25911">
        <w:rPr>
          <w:rStyle w:val="a3"/>
          <w:b/>
          <w:bCs/>
          <w:color w:val="auto"/>
          <w:u w:val="none"/>
          <w:lang w:val="en-US"/>
        </w:rPr>
        <w:t>gov.ua</w:t>
      </w:r>
    </w:p>
    <w:p w:rsidR="008A08E5" w:rsidRPr="00C25911" w:rsidRDefault="008A08E5" w:rsidP="008A08E5">
      <w:pPr>
        <w:ind w:left="-180"/>
        <w:jc w:val="center"/>
        <w:rPr>
          <w:bCs/>
          <w:lang w:val="uk-UA"/>
        </w:rPr>
      </w:pPr>
      <w:r w:rsidRPr="00C25911">
        <w:rPr>
          <w:b/>
          <w:bCs/>
          <w:lang w:val="uk-UA"/>
        </w:rPr>
        <w:t xml:space="preserve"> Код ЄДРПОУ 39816211</w:t>
      </w:r>
    </w:p>
    <w:p w:rsidR="008A08E5" w:rsidRPr="00BB489F" w:rsidRDefault="008A08E5" w:rsidP="008A08E5">
      <w:pPr>
        <w:widowControl w:val="0"/>
        <w:autoSpaceDE w:val="0"/>
        <w:autoSpaceDN w:val="0"/>
        <w:adjustRightInd w:val="0"/>
        <w:spacing w:before="40" w:after="40"/>
        <w:rPr>
          <w:rFonts w:ascii="Times New Roman CYR" w:hAnsi="Times New Roman CYR" w:cs="Times New Roman CYR"/>
          <w:sz w:val="12"/>
          <w:szCs w:val="12"/>
          <w:u w:val="thick" w:color="000000" w:themeColor="text1"/>
          <w:lang w:val="uk-UA"/>
        </w:rPr>
      </w:pPr>
      <w:r w:rsidRPr="00BB489F">
        <w:rPr>
          <w:rFonts w:ascii="Times New Roman CYR" w:hAnsi="Times New Roman CYR" w:cs="Times New Roman CYR"/>
          <w:sz w:val="12"/>
          <w:szCs w:val="12"/>
          <w:u w:val="thick" w:color="000000" w:themeColor="text1"/>
          <w:lang w:val="uk-UA"/>
        </w:rPr>
        <w:t>_</w:t>
      </w:r>
      <w:r w:rsidRPr="00BB489F">
        <w:rPr>
          <w:rFonts w:ascii="Times New Roman CYR" w:hAnsi="Times New Roman CYR" w:cs="Times New Roman CYR"/>
          <w:b/>
          <w:sz w:val="12"/>
          <w:szCs w:val="12"/>
          <w:u w:val="thick" w:color="000000" w:themeColor="text1"/>
          <w:lang w:val="uk-UA"/>
        </w:rPr>
        <w:t>_________________________________________________________________________________________________</w:t>
      </w:r>
      <w:r>
        <w:rPr>
          <w:rFonts w:ascii="Times New Roman CYR" w:hAnsi="Times New Roman CYR" w:cs="Times New Roman CYR"/>
          <w:b/>
          <w:sz w:val="12"/>
          <w:szCs w:val="12"/>
          <w:u w:val="thick" w:color="000000" w:themeColor="text1"/>
          <w:lang w:val="uk-UA"/>
        </w:rPr>
        <w:t>_______________________________________</w:t>
      </w:r>
      <w:r w:rsidRPr="00BB489F">
        <w:rPr>
          <w:rFonts w:ascii="Times New Roman CYR" w:hAnsi="Times New Roman CYR" w:cs="Times New Roman CYR"/>
          <w:b/>
          <w:sz w:val="12"/>
          <w:szCs w:val="12"/>
          <w:u w:val="thick" w:color="000000" w:themeColor="text1"/>
          <w:lang w:val="uk-UA"/>
        </w:rPr>
        <w:t>__________________</w:t>
      </w:r>
    </w:p>
    <w:p w:rsidR="008A08E5" w:rsidRDefault="008A08E5" w:rsidP="008A08E5">
      <w:pPr>
        <w:widowControl w:val="0"/>
        <w:autoSpaceDE w:val="0"/>
        <w:autoSpaceDN w:val="0"/>
        <w:adjustRightInd w:val="0"/>
        <w:spacing w:before="40" w:after="40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 xml:space="preserve">від _____________________№__________       </w:t>
      </w:r>
    </w:p>
    <w:p w:rsidR="008A08E5" w:rsidRDefault="008A08E5" w:rsidP="008A08E5">
      <w:pPr>
        <w:widowControl w:val="0"/>
        <w:autoSpaceDE w:val="0"/>
        <w:autoSpaceDN w:val="0"/>
        <w:adjustRightInd w:val="0"/>
        <w:spacing w:before="40" w:after="40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на №______________ від ______________</w:t>
      </w:r>
    </w:p>
    <w:p w:rsidR="008A08E5" w:rsidRPr="008A08E5" w:rsidRDefault="008A08E5" w:rsidP="001841B8">
      <w:pPr>
        <w:tabs>
          <w:tab w:val="left" w:pos="8787"/>
        </w:tabs>
        <w:jc w:val="center"/>
        <w:rPr>
          <w:b/>
          <w:sz w:val="32"/>
          <w:szCs w:val="32"/>
          <w:lang w:val="uk-UA"/>
        </w:rPr>
      </w:pPr>
    </w:p>
    <w:p w:rsidR="001841B8" w:rsidRPr="00451E13" w:rsidRDefault="001841B8" w:rsidP="00A0333B">
      <w:pPr>
        <w:tabs>
          <w:tab w:val="left" w:pos="8787"/>
        </w:tabs>
        <w:jc w:val="center"/>
        <w:rPr>
          <w:b/>
          <w:lang w:val="uk-UA"/>
        </w:rPr>
      </w:pPr>
      <w:r w:rsidRPr="00451E13">
        <w:rPr>
          <w:b/>
          <w:lang w:val="uk-UA"/>
        </w:rPr>
        <w:t>Довідка про консультації з органами виконавчої влади</w:t>
      </w:r>
    </w:p>
    <w:p w:rsidR="00A0333B" w:rsidRPr="00451E13" w:rsidRDefault="001841B8" w:rsidP="00A0333B">
      <w:pPr>
        <w:tabs>
          <w:tab w:val="left" w:pos="8787"/>
        </w:tabs>
        <w:jc w:val="center"/>
        <w:rPr>
          <w:b/>
          <w:lang w:val="uk-UA"/>
        </w:rPr>
      </w:pPr>
      <w:r w:rsidRPr="00451E13">
        <w:rPr>
          <w:b/>
          <w:lang w:val="uk-UA"/>
        </w:rPr>
        <w:t xml:space="preserve">у процесі здійснення стратегічної екологічної оцінки </w:t>
      </w:r>
    </w:p>
    <w:p w:rsidR="00451E13" w:rsidRPr="00451E13" w:rsidRDefault="001841B8" w:rsidP="00451E13">
      <w:pPr>
        <w:ind w:firstLine="567"/>
        <w:jc w:val="center"/>
        <w:rPr>
          <w:b/>
          <w:lang w:val="uk-UA"/>
        </w:rPr>
      </w:pPr>
      <w:proofErr w:type="spellStart"/>
      <w:r w:rsidRPr="00451E13">
        <w:rPr>
          <w:b/>
          <w:lang w:val="uk-UA"/>
        </w:rPr>
        <w:t>проєкту</w:t>
      </w:r>
      <w:proofErr w:type="spellEnd"/>
      <w:r w:rsidR="00A0333B" w:rsidRPr="00451E13">
        <w:rPr>
          <w:b/>
          <w:lang w:val="uk-UA"/>
        </w:rPr>
        <w:t xml:space="preserve"> </w:t>
      </w:r>
      <w:r w:rsidR="00451E13" w:rsidRPr="00451E13">
        <w:rPr>
          <w:b/>
          <w:lang w:val="uk-UA"/>
        </w:rPr>
        <w:t xml:space="preserve">Програми економічного і соціального розвитку </w:t>
      </w:r>
    </w:p>
    <w:p w:rsidR="00451E13" w:rsidRPr="00451E13" w:rsidRDefault="00451E13" w:rsidP="00451E13">
      <w:pPr>
        <w:ind w:firstLine="567"/>
        <w:jc w:val="center"/>
        <w:rPr>
          <w:b/>
          <w:lang w:val="uk-UA"/>
        </w:rPr>
      </w:pPr>
      <w:r w:rsidRPr="00451E13">
        <w:rPr>
          <w:b/>
          <w:lang w:val="uk-UA"/>
        </w:rPr>
        <w:t>Хмельницької міської територіальної громади на 2022 рік</w:t>
      </w:r>
    </w:p>
    <w:p w:rsidR="008A08E5" w:rsidRDefault="00451E13" w:rsidP="00451E13">
      <w:pPr>
        <w:tabs>
          <w:tab w:val="left" w:pos="8787"/>
        </w:tabs>
        <w:jc w:val="center"/>
        <w:rPr>
          <w:b/>
          <w:lang w:val="uk-UA"/>
        </w:rPr>
      </w:pPr>
      <w:r w:rsidRPr="00451E13">
        <w:rPr>
          <w:b/>
          <w:lang w:val="uk-UA"/>
        </w:rPr>
        <w:t>та Звіту про стратегічну екологічну оцінку</w:t>
      </w:r>
    </w:p>
    <w:p w:rsidR="00451E13" w:rsidRPr="00451E13" w:rsidRDefault="00451E13" w:rsidP="00451E13">
      <w:pPr>
        <w:tabs>
          <w:tab w:val="left" w:pos="8787"/>
        </w:tabs>
        <w:jc w:val="center"/>
        <w:rPr>
          <w:b/>
          <w:lang w:val="uk-UA"/>
        </w:rPr>
      </w:pPr>
    </w:p>
    <w:p w:rsidR="001E0132" w:rsidRPr="00A0333B" w:rsidRDefault="001841B8" w:rsidP="00F1362D">
      <w:pPr>
        <w:tabs>
          <w:tab w:val="left" w:pos="8787"/>
        </w:tabs>
        <w:ind w:firstLine="567"/>
        <w:jc w:val="both"/>
        <w:rPr>
          <w:lang w:val="uk-UA"/>
        </w:rPr>
      </w:pPr>
      <w:r w:rsidRPr="00A0333B">
        <w:rPr>
          <w:lang w:val="uk-UA"/>
        </w:rPr>
        <w:t xml:space="preserve">На виконання ст.10 Закону України «Про стратегічну екологічну оцінку» </w:t>
      </w:r>
      <w:r w:rsidR="008A08E5" w:rsidRPr="00A0333B">
        <w:rPr>
          <w:lang w:val="uk-UA"/>
        </w:rPr>
        <w:t xml:space="preserve">управлінням економіки Хмельницької </w:t>
      </w:r>
      <w:r w:rsidRPr="00A0333B">
        <w:rPr>
          <w:lang w:val="uk-UA"/>
        </w:rPr>
        <w:t xml:space="preserve">міської ради, для визначення обсягу досліджень, методів екологічної оцінки, рівня деталізації інформації, що має бути включена до Звіту про стратегічну екологічну оцінку, </w:t>
      </w:r>
      <w:r w:rsidR="00451E13">
        <w:rPr>
          <w:lang w:val="uk-UA"/>
        </w:rPr>
        <w:t>18.08</w:t>
      </w:r>
      <w:r w:rsidR="008A08E5" w:rsidRPr="00A0333B">
        <w:rPr>
          <w:lang w:val="uk-UA"/>
        </w:rPr>
        <w:t xml:space="preserve">.2021 року подано Заяву про визначення обсягу стратегічної екологічної оцінки </w:t>
      </w:r>
      <w:proofErr w:type="spellStart"/>
      <w:r w:rsidR="008A08E5" w:rsidRPr="00A0333B">
        <w:rPr>
          <w:lang w:val="uk-UA"/>
        </w:rPr>
        <w:t>проєкту</w:t>
      </w:r>
      <w:proofErr w:type="spellEnd"/>
      <w:r w:rsidR="008A08E5" w:rsidRPr="00A0333B">
        <w:rPr>
          <w:lang w:val="uk-UA"/>
        </w:rPr>
        <w:t xml:space="preserve"> </w:t>
      </w:r>
      <w:r w:rsidR="00451E13">
        <w:rPr>
          <w:lang w:val="uk-UA"/>
        </w:rPr>
        <w:t>Програми економічного і соціального</w:t>
      </w:r>
      <w:r w:rsidR="00451E13" w:rsidRPr="000000DF">
        <w:rPr>
          <w:lang w:val="uk-UA"/>
        </w:rPr>
        <w:t xml:space="preserve"> розвитку Хмельницької міської територіальної громади на 202</w:t>
      </w:r>
      <w:r w:rsidR="00451E13">
        <w:rPr>
          <w:lang w:val="uk-UA"/>
        </w:rPr>
        <w:t>2</w:t>
      </w:r>
      <w:r w:rsidR="00451E13" w:rsidRPr="000000DF">
        <w:rPr>
          <w:lang w:val="uk-UA"/>
        </w:rPr>
        <w:t xml:space="preserve"> р</w:t>
      </w:r>
      <w:r w:rsidR="00451E13">
        <w:rPr>
          <w:lang w:val="uk-UA"/>
        </w:rPr>
        <w:t>і</w:t>
      </w:r>
      <w:r w:rsidR="00451E13" w:rsidRPr="000000DF">
        <w:rPr>
          <w:lang w:val="uk-UA"/>
        </w:rPr>
        <w:t xml:space="preserve">к (далі – </w:t>
      </w:r>
      <w:r w:rsidR="00451E13">
        <w:rPr>
          <w:lang w:val="uk-UA"/>
        </w:rPr>
        <w:t>Програма</w:t>
      </w:r>
      <w:r w:rsidR="00451E13" w:rsidRPr="000000DF">
        <w:rPr>
          <w:lang w:val="uk-UA"/>
        </w:rPr>
        <w:t>)</w:t>
      </w:r>
      <w:r w:rsidR="00451E13">
        <w:rPr>
          <w:lang w:val="uk-UA"/>
        </w:rPr>
        <w:t xml:space="preserve"> </w:t>
      </w:r>
      <w:r w:rsidR="008A08E5" w:rsidRPr="00A0333B">
        <w:rPr>
          <w:lang w:val="uk-UA"/>
        </w:rPr>
        <w:t xml:space="preserve">на паперових носіях та </w:t>
      </w:r>
      <w:r w:rsidR="00A0333B">
        <w:rPr>
          <w:lang w:val="uk-UA"/>
        </w:rPr>
        <w:t>у електронному вигляді до Д</w:t>
      </w:r>
      <w:r w:rsidR="008A08E5" w:rsidRPr="00A0333B">
        <w:rPr>
          <w:lang w:val="uk-UA"/>
        </w:rPr>
        <w:t xml:space="preserve">епартаменту </w:t>
      </w:r>
      <w:r w:rsidR="001E0132" w:rsidRPr="00A0333B">
        <w:rPr>
          <w:lang w:val="uk-UA"/>
        </w:rPr>
        <w:t xml:space="preserve">природних ресурсів та екології Хмельницької </w:t>
      </w:r>
      <w:r w:rsidR="008A08E5" w:rsidRPr="00A0333B">
        <w:rPr>
          <w:lang w:val="uk-UA"/>
        </w:rPr>
        <w:t>облдержадміністрації</w:t>
      </w:r>
      <w:r w:rsidR="00A0333B">
        <w:rPr>
          <w:lang w:val="uk-UA"/>
        </w:rPr>
        <w:t xml:space="preserve"> (лист</w:t>
      </w:r>
      <w:r w:rsidR="008A08E5" w:rsidRPr="00A0333B">
        <w:rPr>
          <w:lang w:val="uk-UA"/>
        </w:rPr>
        <w:t xml:space="preserve"> </w:t>
      </w:r>
      <w:r w:rsidR="00A0333B" w:rsidRPr="00A0333B">
        <w:rPr>
          <w:lang w:val="uk-UA"/>
        </w:rPr>
        <w:t>від 1</w:t>
      </w:r>
      <w:r w:rsidR="00451E13">
        <w:rPr>
          <w:lang w:val="uk-UA"/>
        </w:rPr>
        <w:t>8</w:t>
      </w:r>
      <w:r w:rsidR="00A0333B" w:rsidRPr="00A0333B">
        <w:rPr>
          <w:lang w:val="uk-UA"/>
        </w:rPr>
        <w:t>.0</w:t>
      </w:r>
      <w:r w:rsidR="00451E13">
        <w:rPr>
          <w:lang w:val="uk-UA"/>
        </w:rPr>
        <w:t>8</w:t>
      </w:r>
      <w:r w:rsidR="00A0333B" w:rsidRPr="00A0333B">
        <w:rPr>
          <w:lang w:val="uk-UA"/>
        </w:rPr>
        <w:t xml:space="preserve">.2021 року </w:t>
      </w:r>
      <w:r w:rsidR="008A08E5" w:rsidRPr="00A0333B">
        <w:rPr>
          <w:lang w:val="uk-UA"/>
        </w:rPr>
        <w:t>№</w:t>
      </w:r>
      <w:r w:rsidR="00451E13">
        <w:rPr>
          <w:lang w:val="uk-UA"/>
        </w:rPr>
        <w:t>225</w:t>
      </w:r>
      <w:r w:rsidR="008A08E5" w:rsidRPr="00A0333B">
        <w:rPr>
          <w:lang w:val="uk-UA"/>
        </w:rPr>
        <w:t>)</w:t>
      </w:r>
      <w:r w:rsidR="00AB6559" w:rsidRPr="00A0333B">
        <w:rPr>
          <w:lang w:val="uk-UA"/>
        </w:rPr>
        <w:t>,</w:t>
      </w:r>
      <w:r w:rsidR="008A08E5" w:rsidRPr="00A0333B">
        <w:rPr>
          <w:lang w:val="uk-UA"/>
        </w:rPr>
        <w:t xml:space="preserve"> </w:t>
      </w:r>
      <w:r w:rsidR="00A0333B">
        <w:rPr>
          <w:lang w:val="uk-UA"/>
        </w:rPr>
        <w:t>Д</w:t>
      </w:r>
      <w:r w:rsidR="008A08E5" w:rsidRPr="00A0333B">
        <w:rPr>
          <w:lang w:val="uk-UA"/>
        </w:rPr>
        <w:t xml:space="preserve">епартаменту охорони здоров’я </w:t>
      </w:r>
      <w:r w:rsidR="001E0132" w:rsidRPr="00A0333B">
        <w:rPr>
          <w:lang w:val="uk-UA"/>
        </w:rPr>
        <w:t xml:space="preserve">Хмельницької облдержадміністрації </w:t>
      </w:r>
      <w:r w:rsidR="008A08E5" w:rsidRPr="00A0333B">
        <w:rPr>
          <w:lang w:val="uk-UA"/>
        </w:rPr>
        <w:t>(</w:t>
      </w:r>
      <w:r w:rsidR="00A0333B">
        <w:rPr>
          <w:lang w:val="uk-UA"/>
        </w:rPr>
        <w:t xml:space="preserve">лист </w:t>
      </w:r>
      <w:r w:rsidR="00A0333B" w:rsidRPr="00A0333B">
        <w:rPr>
          <w:lang w:val="uk-UA"/>
        </w:rPr>
        <w:t>від 1</w:t>
      </w:r>
      <w:r w:rsidR="00451E13">
        <w:rPr>
          <w:lang w:val="uk-UA"/>
        </w:rPr>
        <w:t>8</w:t>
      </w:r>
      <w:r w:rsidR="00A0333B" w:rsidRPr="00A0333B">
        <w:rPr>
          <w:lang w:val="uk-UA"/>
        </w:rPr>
        <w:t>.0</w:t>
      </w:r>
      <w:r w:rsidR="00451E13">
        <w:rPr>
          <w:lang w:val="uk-UA"/>
        </w:rPr>
        <w:t>8</w:t>
      </w:r>
      <w:r w:rsidR="00A0333B" w:rsidRPr="00A0333B">
        <w:rPr>
          <w:lang w:val="uk-UA"/>
        </w:rPr>
        <w:t>.2021 року</w:t>
      </w:r>
      <w:r w:rsidR="008A08E5" w:rsidRPr="00A0333B">
        <w:rPr>
          <w:lang w:val="uk-UA"/>
        </w:rPr>
        <w:t xml:space="preserve"> №</w:t>
      </w:r>
      <w:r w:rsidR="00451E13">
        <w:rPr>
          <w:lang w:val="uk-UA"/>
        </w:rPr>
        <w:t>226</w:t>
      </w:r>
      <w:r w:rsidR="008A08E5" w:rsidRPr="00A0333B">
        <w:rPr>
          <w:lang w:val="uk-UA"/>
        </w:rPr>
        <w:t>)</w:t>
      </w:r>
      <w:r w:rsidR="001E0132" w:rsidRPr="00A0333B">
        <w:rPr>
          <w:lang w:val="uk-UA"/>
        </w:rPr>
        <w:t>.</w:t>
      </w:r>
    </w:p>
    <w:p w:rsidR="008A08E5" w:rsidRPr="00A0333B" w:rsidRDefault="0092661A" w:rsidP="00F1362D">
      <w:pPr>
        <w:tabs>
          <w:tab w:val="left" w:pos="8787"/>
        </w:tabs>
        <w:ind w:firstLine="567"/>
        <w:jc w:val="both"/>
        <w:rPr>
          <w:lang w:val="uk-UA"/>
        </w:rPr>
      </w:pPr>
      <w:r w:rsidRPr="00A0333B">
        <w:rPr>
          <w:lang w:val="uk-UA"/>
        </w:rPr>
        <w:t>Крім цього, Заяву оприлюднено</w:t>
      </w:r>
      <w:r w:rsidR="008A08E5" w:rsidRPr="00A0333B">
        <w:rPr>
          <w:lang w:val="uk-UA"/>
        </w:rPr>
        <w:t xml:space="preserve"> </w:t>
      </w:r>
      <w:r w:rsidR="00451E13">
        <w:rPr>
          <w:lang w:val="uk-UA"/>
        </w:rPr>
        <w:t>18.08</w:t>
      </w:r>
      <w:r w:rsidR="00F90FAA" w:rsidRPr="00A0333B">
        <w:rPr>
          <w:lang w:val="uk-UA"/>
        </w:rPr>
        <w:t xml:space="preserve">.2021 року </w:t>
      </w:r>
      <w:r w:rsidR="008A08E5" w:rsidRPr="00A0333B">
        <w:rPr>
          <w:lang w:val="uk-UA"/>
        </w:rPr>
        <w:t xml:space="preserve">на офіційному сайті Хмельницької міської ради та повідомлення про її розміщення надруковано у газетах </w:t>
      </w:r>
      <w:r w:rsidR="00B611FB" w:rsidRPr="00A0333B">
        <w:rPr>
          <w:lang w:val="uk-UA"/>
        </w:rPr>
        <w:t xml:space="preserve">«Є» та </w:t>
      </w:r>
      <w:r w:rsidR="008A08E5" w:rsidRPr="00A0333B">
        <w:rPr>
          <w:lang w:val="uk-UA"/>
        </w:rPr>
        <w:t xml:space="preserve">«Актуально для подолян». </w:t>
      </w:r>
    </w:p>
    <w:p w:rsidR="00B611FB" w:rsidRPr="00A0333B" w:rsidRDefault="00382591" w:rsidP="00F1362D">
      <w:pPr>
        <w:tabs>
          <w:tab w:val="left" w:pos="8787"/>
        </w:tabs>
        <w:ind w:firstLine="567"/>
        <w:jc w:val="both"/>
        <w:rPr>
          <w:lang w:val="uk-UA"/>
        </w:rPr>
      </w:pPr>
      <w:r>
        <w:rPr>
          <w:lang w:val="uk-UA"/>
        </w:rPr>
        <w:t>За результата</w:t>
      </w:r>
      <w:r w:rsidR="001841B8" w:rsidRPr="00A0333B">
        <w:rPr>
          <w:lang w:val="uk-UA"/>
        </w:rPr>
        <w:t>м</w:t>
      </w:r>
      <w:r>
        <w:rPr>
          <w:lang w:val="uk-UA"/>
        </w:rPr>
        <w:t>и</w:t>
      </w:r>
      <w:r w:rsidR="001841B8" w:rsidRPr="00A0333B">
        <w:rPr>
          <w:lang w:val="uk-UA"/>
        </w:rPr>
        <w:t xml:space="preserve"> розгляду Заяви </w:t>
      </w:r>
      <w:r w:rsidR="00BE2323">
        <w:rPr>
          <w:lang w:val="uk-UA"/>
        </w:rPr>
        <w:t>Департаментом</w:t>
      </w:r>
      <w:r w:rsidR="00BE2323" w:rsidRPr="00A0333B">
        <w:rPr>
          <w:lang w:val="uk-UA"/>
        </w:rPr>
        <w:t xml:space="preserve"> природних ресурсів та екології Хмельницької облдержадміністрації </w:t>
      </w:r>
      <w:r w:rsidR="00BE2323">
        <w:rPr>
          <w:lang w:val="uk-UA"/>
        </w:rPr>
        <w:t xml:space="preserve">(лист </w:t>
      </w:r>
      <w:r w:rsidR="00BE2323" w:rsidRPr="00A0333B">
        <w:rPr>
          <w:lang w:val="uk-UA"/>
        </w:rPr>
        <w:t xml:space="preserve">від </w:t>
      </w:r>
      <w:r w:rsidR="00BE2323">
        <w:rPr>
          <w:lang w:val="uk-UA"/>
        </w:rPr>
        <w:t>26</w:t>
      </w:r>
      <w:r w:rsidR="00BE2323" w:rsidRPr="00A0333B">
        <w:rPr>
          <w:lang w:val="uk-UA"/>
        </w:rPr>
        <w:t>.0</w:t>
      </w:r>
      <w:r w:rsidR="00BE2323">
        <w:rPr>
          <w:lang w:val="uk-UA"/>
        </w:rPr>
        <w:t>8</w:t>
      </w:r>
      <w:r w:rsidR="00BE2323" w:rsidRPr="00A0333B">
        <w:rPr>
          <w:lang w:val="uk-UA"/>
        </w:rPr>
        <w:t>.2021 року №03.1/</w:t>
      </w:r>
      <w:r w:rsidR="00BE2323">
        <w:rPr>
          <w:lang w:val="uk-UA"/>
        </w:rPr>
        <w:t>4141)</w:t>
      </w:r>
      <w:r w:rsidR="00BE2323" w:rsidRPr="00A0333B">
        <w:rPr>
          <w:lang w:val="uk-UA"/>
        </w:rPr>
        <w:t xml:space="preserve">, </w:t>
      </w:r>
      <w:r w:rsidR="00BE2323">
        <w:rPr>
          <w:lang w:val="uk-UA"/>
        </w:rPr>
        <w:t xml:space="preserve">Департаментом охорони здоров’я </w:t>
      </w:r>
      <w:r w:rsidR="00BE2323" w:rsidRPr="00A0333B">
        <w:rPr>
          <w:lang w:val="uk-UA"/>
        </w:rPr>
        <w:t xml:space="preserve">Хмельницької облдержадміністрації </w:t>
      </w:r>
      <w:r w:rsidR="00BE2323">
        <w:rPr>
          <w:lang w:val="uk-UA"/>
        </w:rPr>
        <w:t xml:space="preserve">(лист </w:t>
      </w:r>
      <w:r w:rsidR="00BE2323" w:rsidRPr="00A0333B">
        <w:rPr>
          <w:lang w:val="uk-UA"/>
        </w:rPr>
        <w:t xml:space="preserve">від </w:t>
      </w:r>
      <w:r w:rsidR="00BE2323">
        <w:rPr>
          <w:lang w:val="uk-UA"/>
        </w:rPr>
        <w:t>28</w:t>
      </w:r>
      <w:r w:rsidR="00BE2323" w:rsidRPr="00A0333B">
        <w:rPr>
          <w:lang w:val="uk-UA"/>
        </w:rPr>
        <w:t>.0</w:t>
      </w:r>
      <w:r w:rsidR="00BE2323">
        <w:rPr>
          <w:lang w:val="uk-UA"/>
        </w:rPr>
        <w:t>8</w:t>
      </w:r>
      <w:r w:rsidR="00BE2323" w:rsidRPr="00A0333B">
        <w:rPr>
          <w:lang w:val="uk-UA"/>
        </w:rPr>
        <w:t>.2021 року №</w:t>
      </w:r>
      <w:r w:rsidR="00BE2323">
        <w:rPr>
          <w:lang w:val="uk-UA"/>
        </w:rPr>
        <w:t>02-01</w:t>
      </w:r>
      <w:r w:rsidR="00BE2323" w:rsidRPr="00A0333B">
        <w:rPr>
          <w:lang w:val="uk-UA"/>
        </w:rPr>
        <w:t>/</w:t>
      </w:r>
      <w:r w:rsidR="00BE2323">
        <w:rPr>
          <w:lang w:val="uk-UA"/>
        </w:rPr>
        <w:t>2565) надано</w:t>
      </w:r>
      <w:r w:rsidR="00A0333B">
        <w:rPr>
          <w:lang w:val="uk-UA"/>
        </w:rPr>
        <w:t xml:space="preserve"> </w:t>
      </w:r>
      <w:r w:rsidR="009C0321" w:rsidRPr="00A0333B">
        <w:rPr>
          <w:lang w:val="uk-UA"/>
        </w:rPr>
        <w:t xml:space="preserve">загальні рекомендації </w:t>
      </w:r>
      <w:r w:rsidR="009C0321">
        <w:rPr>
          <w:lang w:val="uk-UA"/>
        </w:rPr>
        <w:t xml:space="preserve">щодо дотримання </w:t>
      </w:r>
      <w:r w:rsidR="009C0321" w:rsidRPr="00A0333B">
        <w:rPr>
          <w:lang w:val="uk-UA"/>
        </w:rPr>
        <w:t>норм Закону України «Про стратегічну екологічну оцінку»</w:t>
      </w:r>
      <w:r w:rsidR="009C0321">
        <w:rPr>
          <w:lang w:val="uk-UA"/>
        </w:rPr>
        <w:t xml:space="preserve">, які </w:t>
      </w:r>
      <w:r w:rsidR="00BE2323">
        <w:rPr>
          <w:lang w:val="uk-UA"/>
        </w:rPr>
        <w:t>враховано</w:t>
      </w:r>
      <w:r w:rsidR="009C0321" w:rsidRPr="00A0333B">
        <w:rPr>
          <w:lang w:val="uk-UA"/>
        </w:rPr>
        <w:t xml:space="preserve"> при формуванні Звіту про стратегічну екологічну оцінку до </w:t>
      </w:r>
      <w:proofErr w:type="spellStart"/>
      <w:r w:rsidR="009C0321" w:rsidRPr="00A0333B">
        <w:rPr>
          <w:lang w:val="uk-UA"/>
        </w:rPr>
        <w:t>проєкту</w:t>
      </w:r>
      <w:proofErr w:type="spellEnd"/>
      <w:r w:rsidR="009C0321" w:rsidRPr="00A0333B">
        <w:rPr>
          <w:lang w:val="uk-UA"/>
        </w:rPr>
        <w:t xml:space="preserve"> </w:t>
      </w:r>
      <w:r w:rsidR="009C0321">
        <w:rPr>
          <w:lang w:val="uk-UA"/>
        </w:rPr>
        <w:t>Програми</w:t>
      </w:r>
      <w:r w:rsidR="00BE2323">
        <w:rPr>
          <w:lang w:val="uk-UA"/>
        </w:rPr>
        <w:t>.</w:t>
      </w:r>
    </w:p>
    <w:p w:rsidR="00AB6559" w:rsidRPr="00A0333B" w:rsidRDefault="001841B8" w:rsidP="00F1362D">
      <w:pPr>
        <w:tabs>
          <w:tab w:val="left" w:pos="8787"/>
        </w:tabs>
        <w:ind w:firstLine="567"/>
        <w:jc w:val="both"/>
        <w:rPr>
          <w:lang w:val="uk-UA"/>
        </w:rPr>
      </w:pPr>
      <w:r w:rsidRPr="00A0333B">
        <w:rPr>
          <w:lang w:val="uk-UA"/>
        </w:rPr>
        <w:t xml:space="preserve">На виконання ст.13 Закону України «Про стратегічну екологічну оцінку» </w:t>
      </w:r>
      <w:proofErr w:type="spellStart"/>
      <w:r w:rsidRPr="00A0333B">
        <w:rPr>
          <w:lang w:val="uk-UA"/>
        </w:rPr>
        <w:t>проєкт</w:t>
      </w:r>
      <w:proofErr w:type="spellEnd"/>
      <w:r w:rsidRPr="00A0333B">
        <w:rPr>
          <w:lang w:val="uk-UA"/>
        </w:rPr>
        <w:t xml:space="preserve"> </w:t>
      </w:r>
      <w:r w:rsidR="009C0321">
        <w:rPr>
          <w:lang w:val="uk-UA"/>
        </w:rPr>
        <w:t>Програми</w:t>
      </w:r>
      <w:r w:rsidRPr="00A0333B">
        <w:rPr>
          <w:lang w:val="uk-UA"/>
        </w:rPr>
        <w:t xml:space="preserve"> та Звіт про стратегічну екологічну оцінку </w:t>
      </w:r>
      <w:r w:rsidR="00B611FB" w:rsidRPr="00A0333B">
        <w:rPr>
          <w:lang w:val="uk-UA"/>
        </w:rPr>
        <w:t>н</w:t>
      </w:r>
      <w:r w:rsidRPr="00A0333B">
        <w:rPr>
          <w:lang w:val="uk-UA"/>
        </w:rPr>
        <w:t xml:space="preserve">а паперових носіях та </w:t>
      </w:r>
      <w:r w:rsidR="00A0333B">
        <w:rPr>
          <w:lang w:val="uk-UA"/>
        </w:rPr>
        <w:t>у</w:t>
      </w:r>
      <w:r w:rsidRPr="00A0333B">
        <w:rPr>
          <w:lang w:val="uk-UA"/>
        </w:rPr>
        <w:t xml:space="preserve"> електронному вигляді </w:t>
      </w:r>
      <w:r w:rsidR="009C0321">
        <w:rPr>
          <w:lang w:val="uk-UA"/>
        </w:rPr>
        <w:t>27</w:t>
      </w:r>
      <w:r w:rsidRPr="00A0333B">
        <w:rPr>
          <w:lang w:val="uk-UA"/>
        </w:rPr>
        <w:t>.</w:t>
      </w:r>
      <w:r w:rsidR="009C0321">
        <w:rPr>
          <w:lang w:val="uk-UA"/>
        </w:rPr>
        <w:t>1</w:t>
      </w:r>
      <w:r w:rsidRPr="00A0333B">
        <w:rPr>
          <w:lang w:val="uk-UA"/>
        </w:rPr>
        <w:t>0.202</w:t>
      </w:r>
      <w:r w:rsidR="00B611FB" w:rsidRPr="00A0333B">
        <w:rPr>
          <w:lang w:val="uk-UA"/>
        </w:rPr>
        <w:t>1</w:t>
      </w:r>
      <w:r w:rsidRPr="00A0333B">
        <w:rPr>
          <w:lang w:val="uk-UA"/>
        </w:rPr>
        <w:t xml:space="preserve"> </w:t>
      </w:r>
      <w:r w:rsidR="00B611FB" w:rsidRPr="00A0333B">
        <w:rPr>
          <w:lang w:val="uk-UA"/>
        </w:rPr>
        <w:t xml:space="preserve">року </w:t>
      </w:r>
      <w:r w:rsidRPr="00A0333B">
        <w:rPr>
          <w:lang w:val="uk-UA"/>
        </w:rPr>
        <w:t>над</w:t>
      </w:r>
      <w:r w:rsidR="00A0333B">
        <w:rPr>
          <w:lang w:val="uk-UA"/>
        </w:rPr>
        <w:t>іслано</w:t>
      </w:r>
      <w:r w:rsidRPr="00A0333B">
        <w:rPr>
          <w:lang w:val="uk-UA"/>
        </w:rPr>
        <w:t xml:space="preserve"> до Міністерства захисту довкілля та природних ресурсів України (</w:t>
      </w:r>
      <w:r w:rsidR="00A0333B">
        <w:rPr>
          <w:lang w:val="uk-UA"/>
        </w:rPr>
        <w:t xml:space="preserve">лист </w:t>
      </w:r>
      <w:r w:rsidR="009C0321">
        <w:rPr>
          <w:lang w:val="uk-UA"/>
        </w:rPr>
        <w:t xml:space="preserve">від </w:t>
      </w:r>
      <w:r w:rsidR="00A0333B" w:rsidRPr="00A0333B">
        <w:rPr>
          <w:lang w:val="uk-UA"/>
        </w:rPr>
        <w:t>2</w:t>
      </w:r>
      <w:r w:rsidR="009C0321">
        <w:rPr>
          <w:lang w:val="uk-UA"/>
        </w:rPr>
        <w:t>6</w:t>
      </w:r>
      <w:r w:rsidR="00A0333B" w:rsidRPr="00A0333B">
        <w:rPr>
          <w:lang w:val="uk-UA"/>
        </w:rPr>
        <w:t>.</w:t>
      </w:r>
      <w:r w:rsidR="009C0321">
        <w:rPr>
          <w:lang w:val="uk-UA"/>
        </w:rPr>
        <w:t>1</w:t>
      </w:r>
      <w:r w:rsidR="00A0333B" w:rsidRPr="00A0333B">
        <w:rPr>
          <w:lang w:val="uk-UA"/>
        </w:rPr>
        <w:t xml:space="preserve">0.2021 року </w:t>
      </w:r>
      <w:r w:rsidRPr="00A0333B">
        <w:rPr>
          <w:lang w:val="uk-UA"/>
        </w:rPr>
        <w:t>№</w:t>
      </w:r>
      <w:r w:rsidR="00B611FB" w:rsidRPr="00A0333B">
        <w:rPr>
          <w:lang w:val="uk-UA"/>
        </w:rPr>
        <w:t>1</w:t>
      </w:r>
      <w:r w:rsidR="009C0321">
        <w:rPr>
          <w:lang w:val="uk-UA"/>
        </w:rPr>
        <w:t>1692-21</w:t>
      </w:r>
      <w:r w:rsidRPr="00A0333B">
        <w:rPr>
          <w:lang w:val="uk-UA"/>
        </w:rPr>
        <w:t>), Міністерства охорони здоров’я України (</w:t>
      </w:r>
      <w:r w:rsidR="00A0333B">
        <w:rPr>
          <w:lang w:val="uk-UA"/>
        </w:rPr>
        <w:t xml:space="preserve">лист </w:t>
      </w:r>
      <w:r w:rsidR="009C0321">
        <w:rPr>
          <w:lang w:val="uk-UA"/>
        </w:rPr>
        <w:t>від 26</w:t>
      </w:r>
      <w:r w:rsidR="00A0333B" w:rsidRPr="00A0333B">
        <w:rPr>
          <w:lang w:val="uk-UA"/>
        </w:rPr>
        <w:t>.</w:t>
      </w:r>
      <w:r w:rsidR="009C0321">
        <w:rPr>
          <w:lang w:val="uk-UA"/>
        </w:rPr>
        <w:t>1</w:t>
      </w:r>
      <w:r w:rsidR="00A0333B" w:rsidRPr="00A0333B">
        <w:rPr>
          <w:lang w:val="uk-UA"/>
        </w:rPr>
        <w:t xml:space="preserve">0.2021 року </w:t>
      </w:r>
      <w:r w:rsidRPr="00A0333B">
        <w:rPr>
          <w:lang w:val="uk-UA"/>
        </w:rPr>
        <w:t>№</w:t>
      </w:r>
      <w:r w:rsidR="009C0321">
        <w:rPr>
          <w:lang w:val="uk-UA"/>
        </w:rPr>
        <w:t>11691</w:t>
      </w:r>
      <w:r w:rsidR="00B611FB" w:rsidRPr="00A0333B">
        <w:rPr>
          <w:lang w:val="uk-UA"/>
        </w:rPr>
        <w:t>-21</w:t>
      </w:r>
      <w:r w:rsidRPr="00A0333B">
        <w:rPr>
          <w:lang w:val="uk-UA"/>
        </w:rPr>
        <w:t xml:space="preserve">), </w:t>
      </w:r>
      <w:r w:rsidR="00A0333B">
        <w:rPr>
          <w:lang w:val="uk-UA"/>
        </w:rPr>
        <w:t>Д</w:t>
      </w:r>
      <w:r w:rsidR="00AB6559" w:rsidRPr="00A0333B">
        <w:rPr>
          <w:lang w:val="uk-UA"/>
        </w:rPr>
        <w:t>епартаменту природних ресурсів та екології Хмельницької облдержадміністрації (</w:t>
      </w:r>
      <w:r w:rsidR="00A0333B">
        <w:rPr>
          <w:lang w:val="uk-UA"/>
        </w:rPr>
        <w:t xml:space="preserve">лист </w:t>
      </w:r>
      <w:r w:rsidR="009C0321">
        <w:rPr>
          <w:lang w:val="uk-UA"/>
        </w:rPr>
        <w:t xml:space="preserve">від </w:t>
      </w:r>
      <w:r w:rsidR="00A0333B" w:rsidRPr="00A0333B">
        <w:rPr>
          <w:lang w:val="uk-UA"/>
        </w:rPr>
        <w:t>2</w:t>
      </w:r>
      <w:r w:rsidR="009C0321">
        <w:rPr>
          <w:lang w:val="uk-UA"/>
        </w:rPr>
        <w:t>6</w:t>
      </w:r>
      <w:r w:rsidR="00A0333B" w:rsidRPr="00A0333B">
        <w:rPr>
          <w:lang w:val="uk-UA"/>
        </w:rPr>
        <w:t>.</w:t>
      </w:r>
      <w:r w:rsidR="009C0321">
        <w:rPr>
          <w:lang w:val="uk-UA"/>
        </w:rPr>
        <w:t>1</w:t>
      </w:r>
      <w:r w:rsidR="00A0333B" w:rsidRPr="00A0333B">
        <w:rPr>
          <w:lang w:val="uk-UA"/>
        </w:rPr>
        <w:t xml:space="preserve">0.2021 року </w:t>
      </w:r>
      <w:r w:rsidR="009C0321">
        <w:rPr>
          <w:lang w:val="uk-UA"/>
        </w:rPr>
        <w:t>№11693</w:t>
      </w:r>
      <w:r w:rsidR="00AB6559" w:rsidRPr="00A0333B">
        <w:rPr>
          <w:lang w:val="uk-UA"/>
        </w:rPr>
        <w:t>-21),</w:t>
      </w:r>
      <w:r w:rsidR="00A0333B">
        <w:rPr>
          <w:lang w:val="uk-UA"/>
        </w:rPr>
        <w:t xml:space="preserve"> Д</w:t>
      </w:r>
      <w:r w:rsidR="00AB6559" w:rsidRPr="00A0333B">
        <w:rPr>
          <w:lang w:val="uk-UA"/>
        </w:rPr>
        <w:t>епартаменту охорони здоров’я Хмельницької облдержадміністрації (</w:t>
      </w:r>
      <w:r w:rsidR="009C0321">
        <w:rPr>
          <w:lang w:val="uk-UA"/>
        </w:rPr>
        <w:t xml:space="preserve">лист від </w:t>
      </w:r>
      <w:r w:rsidR="009C0321" w:rsidRPr="00A0333B">
        <w:rPr>
          <w:lang w:val="uk-UA"/>
        </w:rPr>
        <w:t>2</w:t>
      </w:r>
      <w:r w:rsidR="009C0321">
        <w:rPr>
          <w:lang w:val="uk-UA"/>
        </w:rPr>
        <w:t>6</w:t>
      </w:r>
      <w:r w:rsidR="009C0321" w:rsidRPr="00A0333B">
        <w:rPr>
          <w:lang w:val="uk-UA"/>
        </w:rPr>
        <w:t>.</w:t>
      </w:r>
      <w:r w:rsidR="009C0321">
        <w:rPr>
          <w:lang w:val="uk-UA"/>
        </w:rPr>
        <w:t>1</w:t>
      </w:r>
      <w:r w:rsidR="009C0321" w:rsidRPr="00A0333B">
        <w:rPr>
          <w:lang w:val="uk-UA"/>
        </w:rPr>
        <w:t xml:space="preserve">0.2021 року </w:t>
      </w:r>
      <w:r w:rsidR="009C0321">
        <w:rPr>
          <w:lang w:val="uk-UA"/>
        </w:rPr>
        <w:t>№11694</w:t>
      </w:r>
      <w:r w:rsidR="009C0321" w:rsidRPr="00A0333B">
        <w:rPr>
          <w:lang w:val="uk-UA"/>
        </w:rPr>
        <w:t>-21</w:t>
      </w:r>
      <w:r w:rsidR="00AB6559" w:rsidRPr="00A0333B">
        <w:rPr>
          <w:lang w:val="uk-UA"/>
        </w:rPr>
        <w:t>)</w:t>
      </w:r>
      <w:r w:rsidR="00A0333B">
        <w:rPr>
          <w:lang w:val="uk-UA"/>
        </w:rPr>
        <w:t>.</w:t>
      </w:r>
      <w:r w:rsidR="00AB6559" w:rsidRPr="00A0333B">
        <w:rPr>
          <w:lang w:val="uk-UA"/>
        </w:rPr>
        <w:t xml:space="preserve"> </w:t>
      </w:r>
    </w:p>
    <w:p w:rsidR="00A0333B" w:rsidRDefault="001841B8" w:rsidP="00F1362D">
      <w:pPr>
        <w:tabs>
          <w:tab w:val="left" w:pos="8787"/>
        </w:tabs>
        <w:ind w:firstLine="567"/>
        <w:jc w:val="both"/>
        <w:rPr>
          <w:lang w:val="uk-UA"/>
        </w:rPr>
      </w:pPr>
      <w:r w:rsidRPr="00A0333B">
        <w:rPr>
          <w:lang w:val="uk-UA"/>
        </w:rPr>
        <w:t xml:space="preserve"> Крім цього, </w:t>
      </w:r>
      <w:proofErr w:type="spellStart"/>
      <w:r w:rsidR="00AB6559" w:rsidRPr="00A0333B">
        <w:rPr>
          <w:lang w:val="uk-UA"/>
        </w:rPr>
        <w:t>проєкт</w:t>
      </w:r>
      <w:proofErr w:type="spellEnd"/>
      <w:r w:rsidR="00AB6559" w:rsidRPr="00A0333B">
        <w:rPr>
          <w:lang w:val="uk-UA"/>
        </w:rPr>
        <w:t xml:space="preserve"> </w:t>
      </w:r>
      <w:r w:rsidR="009C0321">
        <w:rPr>
          <w:lang w:val="uk-UA"/>
        </w:rPr>
        <w:t>Програми</w:t>
      </w:r>
      <w:r w:rsidR="00AB6559" w:rsidRPr="00A0333B">
        <w:rPr>
          <w:lang w:val="uk-UA"/>
        </w:rPr>
        <w:t xml:space="preserve">, Звіт про стратегічну екологічну оцінку </w:t>
      </w:r>
      <w:r w:rsidR="00A0333B">
        <w:rPr>
          <w:lang w:val="uk-UA"/>
        </w:rPr>
        <w:t xml:space="preserve">оприлюднено </w:t>
      </w:r>
      <w:r w:rsidR="009C0321">
        <w:rPr>
          <w:lang w:val="uk-UA"/>
        </w:rPr>
        <w:t>27.10</w:t>
      </w:r>
      <w:r w:rsidR="00A0333B" w:rsidRPr="00A0333B">
        <w:rPr>
          <w:lang w:val="uk-UA"/>
        </w:rPr>
        <w:t>.2021 року на офіційному сайті Хмельницької міської ради</w:t>
      </w:r>
      <w:r w:rsidR="00A0333B">
        <w:rPr>
          <w:lang w:val="uk-UA"/>
        </w:rPr>
        <w:t xml:space="preserve"> </w:t>
      </w:r>
      <w:r w:rsidR="00AB6559" w:rsidRPr="00A0333B">
        <w:rPr>
          <w:lang w:val="uk-UA"/>
        </w:rPr>
        <w:t>та п</w:t>
      </w:r>
      <w:r w:rsidRPr="00A0333B">
        <w:rPr>
          <w:lang w:val="uk-UA"/>
        </w:rPr>
        <w:t xml:space="preserve">овідомлення про їх </w:t>
      </w:r>
      <w:r w:rsidR="00A0333B">
        <w:rPr>
          <w:lang w:val="uk-UA"/>
        </w:rPr>
        <w:t>розміщення</w:t>
      </w:r>
      <w:r w:rsidRPr="00A0333B">
        <w:rPr>
          <w:lang w:val="uk-UA"/>
        </w:rPr>
        <w:t xml:space="preserve"> надруковано </w:t>
      </w:r>
      <w:r w:rsidR="00F90FAA" w:rsidRPr="00A0333B">
        <w:rPr>
          <w:lang w:val="uk-UA"/>
        </w:rPr>
        <w:t>у газетах «Актуально для подолян» та «Є»</w:t>
      </w:r>
      <w:r w:rsidRPr="00A0333B">
        <w:rPr>
          <w:lang w:val="uk-UA"/>
        </w:rPr>
        <w:t xml:space="preserve">. </w:t>
      </w:r>
    </w:p>
    <w:p w:rsidR="00A0333B" w:rsidRDefault="000E2E2E" w:rsidP="00F1362D">
      <w:pPr>
        <w:tabs>
          <w:tab w:val="left" w:pos="8787"/>
        </w:tabs>
        <w:ind w:firstLine="567"/>
        <w:jc w:val="both"/>
        <w:rPr>
          <w:lang w:val="uk-UA"/>
        </w:rPr>
      </w:pPr>
      <w:r>
        <w:rPr>
          <w:lang w:val="uk-UA"/>
        </w:rPr>
        <w:t>Станом на 27</w:t>
      </w:r>
      <w:r w:rsidR="00A0333B">
        <w:rPr>
          <w:lang w:val="uk-UA"/>
        </w:rPr>
        <w:t>.</w:t>
      </w:r>
      <w:r>
        <w:rPr>
          <w:lang w:val="uk-UA"/>
        </w:rPr>
        <w:t>11</w:t>
      </w:r>
      <w:r w:rsidR="00A0333B">
        <w:rPr>
          <w:lang w:val="uk-UA"/>
        </w:rPr>
        <w:t xml:space="preserve">.2021 року </w:t>
      </w:r>
      <w:r w:rsidR="001841B8" w:rsidRPr="00A0333B">
        <w:rPr>
          <w:lang w:val="uk-UA"/>
        </w:rPr>
        <w:t xml:space="preserve">від </w:t>
      </w:r>
      <w:r w:rsidR="00A0333B">
        <w:rPr>
          <w:lang w:val="uk-UA"/>
        </w:rPr>
        <w:t>Д</w:t>
      </w:r>
      <w:r w:rsidR="00F90FAA" w:rsidRPr="00A0333B">
        <w:rPr>
          <w:lang w:val="uk-UA"/>
        </w:rPr>
        <w:t xml:space="preserve">епартаменту </w:t>
      </w:r>
      <w:r w:rsidR="00826E09">
        <w:rPr>
          <w:lang w:val="uk-UA"/>
        </w:rPr>
        <w:t>охорони здоров’я</w:t>
      </w:r>
      <w:r w:rsidR="00F90FAA" w:rsidRPr="00A0333B">
        <w:rPr>
          <w:lang w:val="uk-UA"/>
        </w:rPr>
        <w:t xml:space="preserve"> Хмельницької облдержадміністрації </w:t>
      </w:r>
      <w:r w:rsidR="00BE2323" w:rsidRPr="00A0333B">
        <w:rPr>
          <w:lang w:val="uk-UA"/>
        </w:rPr>
        <w:t>отримано</w:t>
      </w:r>
      <w:r w:rsidR="00BE2323">
        <w:rPr>
          <w:lang w:val="uk-UA"/>
        </w:rPr>
        <w:t xml:space="preserve"> </w:t>
      </w:r>
      <w:r w:rsidR="00A0333B">
        <w:rPr>
          <w:lang w:val="uk-UA"/>
        </w:rPr>
        <w:t xml:space="preserve">лист </w:t>
      </w:r>
      <w:r w:rsidR="00826E09">
        <w:rPr>
          <w:lang w:val="uk-UA"/>
        </w:rPr>
        <w:t>від 10.11</w:t>
      </w:r>
      <w:r w:rsidR="00091653" w:rsidRPr="00A0333B">
        <w:rPr>
          <w:lang w:val="uk-UA"/>
        </w:rPr>
        <w:t xml:space="preserve">.2021 року </w:t>
      </w:r>
      <w:r w:rsidR="00F90FAA" w:rsidRPr="00A0333B">
        <w:rPr>
          <w:lang w:val="uk-UA"/>
        </w:rPr>
        <w:t>№</w:t>
      </w:r>
      <w:r w:rsidR="00826E09">
        <w:rPr>
          <w:lang w:val="uk-UA"/>
        </w:rPr>
        <w:t>02-01/3225</w:t>
      </w:r>
      <w:r w:rsidR="00F90FAA" w:rsidRPr="00A0333B">
        <w:rPr>
          <w:lang w:val="uk-UA"/>
        </w:rPr>
        <w:t>2906</w:t>
      </w:r>
      <w:r w:rsidR="00A0333B">
        <w:rPr>
          <w:lang w:val="uk-UA"/>
        </w:rPr>
        <w:t xml:space="preserve">, у якому зазначено, що </w:t>
      </w:r>
      <w:r w:rsidR="00826E09">
        <w:rPr>
          <w:lang w:val="uk-UA"/>
        </w:rPr>
        <w:t>під час проведення робіт з будівництва, реконструкції об’єктів рекомендовано дотримуватись вимог Закону України «Про забезпечення санітарного та епідемічного благополуччя населення» від 04.10.2018 року №4004-ХІІ.</w:t>
      </w:r>
    </w:p>
    <w:p w:rsidR="00826E09" w:rsidRDefault="00826E09" w:rsidP="00826E09">
      <w:pPr>
        <w:tabs>
          <w:tab w:val="left" w:pos="8787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Від Міністерства </w:t>
      </w:r>
      <w:r w:rsidRPr="00A0333B">
        <w:rPr>
          <w:lang w:val="uk-UA"/>
        </w:rPr>
        <w:t>захисту довкілля та природних ресурсів України (</w:t>
      </w:r>
      <w:r>
        <w:rPr>
          <w:lang w:val="uk-UA"/>
        </w:rPr>
        <w:t xml:space="preserve">лист від </w:t>
      </w:r>
      <w:r w:rsidRPr="00A0333B">
        <w:rPr>
          <w:lang w:val="uk-UA"/>
        </w:rPr>
        <w:t>2</w:t>
      </w:r>
      <w:r>
        <w:rPr>
          <w:lang w:val="uk-UA"/>
        </w:rPr>
        <w:t>6</w:t>
      </w:r>
      <w:r w:rsidRPr="00A0333B">
        <w:rPr>
          <w:lang w:val="uk-UA"/>
        </w:rPr>
        <w:t>.</w:t>
      </w:r>
      <w:r>
        <w:rPr>
          <w:lang w:val="uk-UA"/>
        </w:rPr>
        <w:t>11</w:t>
      </w:r>
      <w:r w:rsidRPr="00A0333B">
        <w:rPr>
          <w:lang w:val="uk-UA"/>
        </w:rPr>
        <w:t>.2021 року №</w:t>
      </w:r>
      <w:r>
        <w:rPr>
          <w:lang w:val="uk-UA"/>
        </w:rPr>
        <w:t>25/5-21/25169-21</w:t>
      </w:r>
      <w:r w:rsidR="00BE2323">
        <w:rPr>
          <w:lang w:val="uk-UA"/>
        </w:rPr>
        <w:t>)</w:t>
      </w:r>
      <w:r w:rsidRPr="00A0333B">
        <w:rPr>
          <w:lang w:val="uk-UA"/>
        </w:rPr>
        <w:t xml:space="preserve"> </w:t>
      </w:r>
      <w:r w:rsidRPr="000000DF">
        <w:rPr>
          <w:lang w:val="uk-UA"/>
        </w:rPr>
        <w:t xml:space="preserve">надійшли пропозиції та зауваження, які </w:t>
      </w:r>
      <w:r w:rsidRPr="00826E09">
        <w:rPr>
          <w:lang w:val="uk-UA"/>
        </w:rPr>
        <w:t xml:space="preserve">опрацьовано з </w:t>
      </w:r>
      <w:r w:rsidRPr="00826E09">
        <w:rPr>
          <w:lang w:val="uk-UA"/>
        </w:rPr>
        <w:lastRenderedPageBreak/>
        <w:t xml:space="preserve">профільними </w:t>
      </w:r>
      <w:r w:rsidRPr="000000DF">
        <w:rPr>
          <w:lang w:val="uk-UA"/>
        </w:rPr>
        <w:t>виконавчими органами</w:t>
      </w:r>
      <w:r>
        <w:rPr>
          <w:lang w:val="uk-UA"/>
        </w:rPr>
        <w:t xml:space="preserve"> міської ради</w:t>
      </w:r>
      <w:r w:rsidR="00BE2323">
        <w:rPr>
          <w:lang w:val="uk-UA"/>
        </w:rPr>
        <w:t>. З</w:t>
      </w:r>
      <w:r w:rsidRPr="00826E09">
        <w:rPr>
          <w:lang w:val="uk-UA"/>
        </w:rPr>
        <w:t>а результатами підгот</w:t>
      </w:r>
      <w:r w:rsidR="00BE2323">
        <w:rPr>
          <w:lang w:val="uk-UA"/>
        </w:rPr>
        <w:t>овлено висновки щодо врахування</w:t>
      </w:r>
      <w:r w:rsidRPr="00826E09">
        <w:rPr>
          <w:lang w:val="uk-UA"/>
        </w:rPr>
        <w:t xml:space="preserve">/не врахування пропозицій. </w:t>
      </w:r>
    </w:p>
    <w:p w:rsidR="00B62733" w:rsidRPr="00826E09" w:rsidRDefault="00B62733" w:rsidP="00826E09">
      <w:pPr>
        <w:tabs>
          <w:tab w:val="left" w:pos="8787"/>
        </w:tabs>
        <w:ind w:firstLine="567"/>
        <w:jc w:val="both"/>
        <w:rPr>
          <w:lang w:val="uk-UA"/>
        </w:rPr>
      </w:pPr>
    </w:p>
    <w:tbl>
      <w:tblPr>
        <w:tblStyle w:val="a9"/>
        <w:tblW w:w="0" w:type="auto"/>
        <w:tblInd w:w="-431" w:type="dxa"/>
        <w:tblLook w:val="04A0" w:firstRow="1" w:lastRow="0" w:firstColumn="1" w:lastColumn="0" w:noHBand="0" w:noVBand="1"/>
      </w:tblPr>
      <w:tblGrid>
        <w:gridCol w:w="458"/>
        <w:gridCol w:w="4363"/>
        <w:gridCol w:w="1701"/>
        <w:gridCol w:w="3253"/>
      </w:tblGrid>
      <w:tr w:rsidR="00B62733" w:rsidRPr="00717128" w:rsidTr="00E5795D">
        <w:tc>
          <w:tcPr>
            <w:tcW w:w="458" w:type="dxa"/>
          </w:tcPr>
          <w:p w:rsidR="00B62733" w:rsidRPr="00717128" w:rsidRDefault="00B62733" w:rsidP="00064667">
            <w:pPr>
              <w:jc w:val="center"/>
              <w:rPr>
                <w:b/>
                <w:lang w:val="uk-UA"/>
              </w:rPr>
            </w:pPr>
            <w:r w:rsidRPr="00717128">
              <w:rPr>
                <w:b/>
                <w:lang w:val="uk-UA"/>
              </w:rPr>
              <w:t>№</w:t>
            </w:r>
          </w:p>
        </w:tc>
        <w:tc>
          <w:tcPr>
            <w:tcW w:w="4363" w:type="dxa"/>
          </w:tcPr>
          <w:p w:rsidR="00B62733" w:rsidRPr="00717128" w:rsidRDefault="00B62733" w:rsidP="00064667">
            <w:pPr>
              <w:jc w:val="center"/>
              <w:rPr>
                <w:b/>
                <w:lang w:val="uk-UA"/>
              </w:rPr>
            </w:pPr>
            <w:r w:rsidRPr="00717128">
              <w:rPr>
                <w:b/>
                <w:lang w:val="uk-UA"/>
              </w:rPr>
              <w:t>Зауваження/пропозиція</w:t>
            </w:r>
          </w:p>
        </w:tc>
        <w:tc>
          <w:tcPr>
            <w:tcW w:w="1701" w:type="dxa"/>
          </w:tcPr>
          <w:p w:rsidR="00C32736" w:rsidRDefault="00B62733" w:rsidP="00064667">
            <w:pPr>
              <w:jc w:val="center"/>
              <w:rPr>
                <w:b/>
                <w:lang w:val="uk-UA"/>
              </w:rPr>
            </w:pPr>
            <w:r w:rsidRPr="00717128">
              <w:rPr>
                <w:b/>
                <w:lang w:val="uk-UA"/>
              </w:rPr>
              <w:t>Результат: враховано/</w:t>
            </w:r>
          </w:p>
          <w:p w:rsidR="00C32736" w:rsidRDefault="00C32736" w:rsidP="0006466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</w:t>
            </w:r>
            <w:r w:rsidRPr="00717128">
              <w:rPr>
                <w:b/>
                <w:lang w:val="uk-UA"/>
              </w:rPr>
              <w:t>раховано</w:t>
            </w:r>
          </w:p>
          <w:p w:rsidR="00C32736" w:rsidRDefault="00C32736" w:rsidP="00064667">
            <w:pPr>
              <w:jc w:val="center"/>
              <w:rPr>
                <w:b/>
                <w:lang w:val="uk-UA"/>
              </w:rPr>
            </w:pPr>
            <w:r w:rsidRPr="00717128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частково</w:t>
            </w:r>
            <w:r w:rsidR="00B62733" w:rsidRPr="00717128">
              <w:rPr>
                <w:b/>
                <w:lang w:val="uk-UA"/>
              </w:rPr>
              <w:t>/</w:t>
            </w:r>
          </w:p>
          <w:p w:rsidR="00B62733" w:rsidRPr="00717128" w:rsidRDefault="00B62733" w:rsidP="00064667">
            <w:pPr>
              <w:jc w:val="center"/>
              <w:rPr>
                <w:b/>
                <w:lang w:val="uk-UA"/>
              </w:rPr>
            </w:pPr>
            <w:r w:rsidRPr="00717128">
              <w:rPr>
                <w:b/>
                <w:lang w:val="uk-UA"/>
              </w:rPr>
              <w:t>не враховано</w:t>
            </w:r>
          </w:p>
        </w:tc>
        <w:tc>
          <w:tcPr>
            <w:tcW w:w="3253" w:type="dxa"/>
          </w:tcPr>
          <w:p w:rsidR="00B62733" w:rsidRPr="00717128" w:rsidRDefault="00B62733" w:rsidP="00064667">
            <w:pPr>
              <w:jc w:val="center"/>
              <w:rPr>
                <w:b/>
                <w:lang w:val="uk-UA"/>
              </w:rPr>
            </w:pPr>
            <w:r w:rsidRPr="00717128">
              <w:rPr>
                <w:b/>
                <w:lang w:val="uk-UA"/>
              </w:rPr>
              <w:t>Обґрунтування</w:t>
            </w:r>
          </w:p>
        </w:tc>
      </w:tr>
      <w:tr w:rsidR="00B62733" w:rsidRPr="00717128" w:rsidTr="00E5795D">
        <w:tc>
          <w:tcPr>
            <w:tcW w:w="458" w:type="dxa"/>
          </w:tcPr>
          <w:p w:rsidR="00B62733" w:rsidRPr="00717128" w:rsidRDefault="00B62733" w:rsidP="0006466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317" w:type="dxa"/>
            <w:gridSpan w:val="3"/>
          </w:tcPr>
          <w:p w:rsidR="00B62733" w:rsidRPr="00717128" w:rsidRDefault="00B62733" w:rsidP="00064667">
            <w:pPr>
              <w:spacing w:before="120" w:after="120"/>
              <w:jc w:val="center"/>
              <w:rPr>
                <w:b/>
                <w:lang w:val="uk-UA"/>
              </w:rPr>
            </w:pPr>
            <w:proofErr w:type="spellStart"/>
            <w:r w:rsidRPr="00717128">
              <w:rPr>
                <w:b/>
                <w:lang w:val="uk-UA"/>
              </w:rPr>
              <w:t>Проєкт</w:t>
            </w:r>
            <w:proofErr w:type="spellEnd"/>
            <w:r w:rsidRPr="00717128">
              <w:rPr>
                <w:b/>
                <w:lang w:val="uk-UA"/>
              </w:rPr>
              <w:t xml:space="preserve"> Програми економічного і соціального розвитку Хмельницької міської територіальної громади на</w:t>
            </w:r>
            <w:bookmarkStart w:id="0" w:name="_GoBack"/>
            <w:bookmarkEnd w:id="0"/>
            <w:r w:rsidRPr="00717128">
              <w:rPr>
                <w:b/>
                <w:lang w:val="uk-UA"/>
              </w:rPr>
              <w:t xml:space="preserve"> 2022 рік</w:t>
            </w:r>
          </w:p>
        </w:tc>
      </w:tr>
      <w:tr w:rsidR="00B62733" w:rsidRPr="00A84331" w:rsidTr="00E5795D">
        <w:trPr>
          <w:trHeight w:val="377"/>
        </w:trPr>
        <w:tc>
          <w:tcPr>
            <w:tcW w:w="458" w:type="dxa"/>
          </w:tcPr>
          <w:p w:rsidR="00B62733" w:rsidRPr="00717128" w:rsidRDefault="00C32736" w:rsidP="000646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4363" w:type="dxa"/>
          </w:tcPr>
          <w:p w:rsidR="00B62733" w:rsidRPr="00717128" w:rsidRDefault="00B62733" w:rsidP="00E5795D">
            <w:pPr>
              <w:pStyle w:val="a6"/>
              <w:spacing w:after="200"/>
              <w:ind w:left="0"/>
              <w:jc w:val="both"/>
              <w:rPr>
                <w:bCs/>
                <w:lang w:val="uk-UA" w:eastAsia="uk-UA"/>
              </w:rPr>
            </w:pPr>
            <w:r w:rsidRPr="00B62733">
              <w:rPr>
                <w:lang w:val="uk-UA"/>
              </w:rPr>
              <w:t>У Програмі передбачити врахування питань забезпечення реалізації завдань та заходів щодо охорони довкілля та сталого використання природних ресурсів, визначених відповідними планами, стратегіями, програмами та іншими документами загальнодержавного рівня, а також міжнародними угодами Стороною яких є Україна, у т</w:t>
            </w:r>
            <w:r w:rsidR="00B04600">
              <w:rPr>
                <w:lang w:val="uk-UA"/>
              </w:rPr>
              <w:t>.</w:t>
            </w:r>
            <w:r w:rsidRPr="00B62733">
              <w:rPr>
                <w:lang w:val="uk-UA"/>
              </w:rPr>
              <w:t xml:space="preserve"> ч</w:t>
            </w:r>
            <w:r w:rsidR="00B04600">
              <w:rPr>
                <w:lang w:val="uk-UA"/>
              </w:rPr>
              <w:t>.</w:t>
            </w:r>
            <w:r w:rsidRPr="00B62733">
              <w:rPr>
                <w:lang w:val="uk-UA"/>
              </w:rPr>
              <w:t>: Основними засадами (стратегією) державної екологічної політики України на період до 2030 року, затвердженої Законом України від 28.02.2019 №2697-</w:t>
            </w:r>
            <w:r>
              <w:t>VIII</w:t>
            </w:r>
            <w:r w:rsidRPr="00B62733">
              <w:rPr>
                <w:lang w:val="uk-UA"/>
              </w:rPr>
              <w:t>; Національним планом дій з охорони навколишнього природного середовища на період до 2025 року, затверджен</w:t>
            </w:r>
            <w:r w:rsidR="00382591">
              <w:rPr>
                <w:lang w:val="uk-UA"/>
              </w:rPr>
              <w:t>им</w:t>
            </w:r>
            <w:r w:rsidRPr="00B62733">
              <w:rPr>
                <w:lang w:val="uk-UA"/>
              </w:rPr>
              <w:t xml:space="preserve"> розпорядженням Кабінету Міністрів України 21.04.2021 №443-р; Планом заходів щодо виконання Концепції реалізації державної політики у сфері зміни клімату на період до 2030 року, затвердженим розпорядженням Кабінету Міністрів України від 06.12.2017 №932-р; Національним планом дій щодо боротьби з деградацією земель та </w:t>
            </w:r>
            <w:proofErr w:type="spellStart"/>
            <w:r w:rsidRPr="00B62733">
              <w:rPr>
                <w:lang w:val="uk-UA"/>
              </w:rPr>
              <w:t>опустелюванням</w:t>
            </w:r>
            <w:proofErr w:type="spellEnd"/>
            <w:r w:rsidRPr="00B62733">
              <w:rPr>
                <w:lang w:val="uk-UA"/>
              </w:rPr>
              <w:t>, затверджен</w:t>
            </w:r>
            <w:r w:rsidR="00B04600">
              <w:rPr>
                <w:lang w:val="uk-UA"/>
              </w:rPr>
              <w:t>им</w:t>
            </w:r>
            <w:r w:rsidRPr="00B62733">
              <w:rPr>
                <w:lang w:val="uk-UA"/>
              </w:rPr>
              <w:t xml:space="preserve"> розпорядженням Кабінету Міністрів України від 30.03.2016 №271-р; рішенням Координаційної ради з питань боротьби з деградацією земель та </w:t>
            </w:r>
            <w:proofErr w:type="spellStart"/>
            <w:r w:rsidRPr="00B62733">
              <w:rPr>
                <w:lang w:val="uk-UA"/>
              </w:rPr>
              <w:t>опустелюванням</w:t>
            </w:r>
            <w:proofErr w:type="spellEnd"/>
            <w:r w:rsidRPr="00B62733">
              <w:rPr>
                <w:lang w:val="uk-UA"/>
              </w:rPr>
              <w:t>, створеної згідно з постановою Кабінету Міністрів України</w:t>
            </w:r>
            <w:r w:rsidR="008B2380">
              <w:rPr>
                <w:lang w:val="uk-UA"/>
              </w:rPr>
              <w:t xml:space="preserve"> </w:t>
            </w:r>
            <w:r w:rsidRPr="00B62733">
              <w:rPr>
                <w:lang w:val="uk-UA"/>
              </w:rPr>
              <w:t xml:space="preserve">від 18.01.2017 №20, зокрема стосовно схвалення представлених НААН добровільних національних завдань щодо досягнення нейтрального рівня деградації земель за напрямом «Підтримання вмісту органічної речовини (гумусу) у ґрунтах», а також допоміжних заходів за напрямами «Відновлення зрошення і поліпшення еколого-меліоративного стану </w:t>
            </w:r>
            <w:r w:rsidRPr="00B62733">
              <w:rPr>
                <w:lang w:val="uk-UA"/>
              </w:rPr>
              <w:lastRenderedPageBreak/>
              <w:t xml:space="preserve">зрошуваних земель» та «Відновлення та стале використання торфовищ»; Стратегією зрошення та дренажу в Україні на період до 2030 року, затвердженої розпорядженням Кабінету Міністрів України від 14.08.2019 №688-р; Планом заходів з реалізації Стратегії зрошення та дренажу в Україні на період до 2030 року, затвердженим розпорядженням Кабінету Міністрів України від 21.10.2020 № 1567-р; Державною стратегією регіонального розвитку на 2021-2027 роки, затвердженою постановою Кабінету Міністрів України від 05.08.2020 №695; Національною економічною стратегією, затвердженою постановою </w:t>
            </w:r>
            <w:r w:rsidRPr="008B2380">
              <w:rPr>
                <w:lang w:val="uk-UA"/>
              </w:rPr>
              <w:t>Кабінету Міністрів України від 03.03.2021 №179; Цілями Сталого Розвитку, затвердженими у 2015 році 70-ю сесією Генеральної асамблеї ООН (резолюція від 25.09.2015 70/1), з урахуванням Указу Президента України від 30.09.2019 №722/2019 «Про Цілі сталого розвитку України на період до 2030 року» та розпорядження Кабінету Міністрів України від 21.08.2019 №686-р «Питання збору даних для моніторингу реалізації цілей сталого розвитку» (далі – моніторинг ЦСР);</w:t>
            </w:r>
            <w:r w:rsidR="008B2380">
              <w:rPr>
                <w:lang w:val="uk-UA"/>
              </w:rPr>
              <w:t xml:space="preserve"> </w:t>
            </w:r>
            <w:r w:rsidRPr="008B2380">
              <w:rPr>
                <w:lang w:val="uk-UA"/>
              </w:rPr>
              <w:t>Ріо- Конвенціями та іншими міжнародними угодами природоохоронного спрямування.</w:t>
            </w:r>
          </w:p>
        </w:tc>
        <w:tc>
          <w:tcPr>
            <w:tcW w:w="1701" w:type="dxa"/>
          </w:tcPr>
          <w:p w:rsidR="00B62733" w:rsidRPr="00DF6E5D" w:rsidRDefault="00B62733" w:rsidP="000646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Враховано частково</w:t>
            </w:r>
          </w:p>
        </w:tc>
        <w:tc>
          <w:tcPr>
            <w:tcW w:w="3253" w:type="dxa"/>
          </w:tcPr>
          <w:p w:rsidR="00B62733" w:rsidRPr="004605D2" w:rsidRDefault="004605D2" w:rsidP="00064667">
            <w:pPr>
              <w:jc w:val="both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 xml:space="preserve">При формуванні </w:t>
            </w:r>
            <w:proofErr w:type="spellStart"/>
            <w:r>
              <w:rPr>
                <w:bCs/>
                <w:lang w:val="uk-UA" w:eastAsia="uk-UA"/>
              </w:rPr>
              <w:t>проєкту</w:t>
            </w:r>
            <w:proofErr w:type="spellEnd"/>
            <w:r>
              <w:rPr>
                <w:bCs/>
                <w:lang w:val="uk-UA" w:eastAsia="uk-UA"/>
              </w:rPr>
              <w:t xml:space="preserve"> Програми </w:t>
            </w:r>
            <w:r w:rsidRPr="00025904">
              <w:rPr>
                <w:bCs/>
                <w:lang w:val="uk-UA" w:eastAsia="uk-UA"/>
              </w:rPr>
              <w:t xml:space="preserve">враховано </w:t>
            </w:r>
            <w:r>
              <w:rPr>
                <w:bCs/>
                <w:lang w:val="uk-UA" w:eastAsia="uk-UA"/>
              </w:rPr>
              <w:t>о</w:t>
            </w:r>
            <w:r w:rsidR="00A84331" w:rsidRPr="00025904">
              <w:rPr>
                <w:bCs/>
                <w:lang w:val="uk-UA" w:eastAsia="uk-UA"/>
              </w:rPr>
              <w:t>сновні засади екологічної політики</w:t>
            </w:r>
            <w:r>
              <w:rPr>
                <w:bCs/>
                <w:lang w:val="uk-UA" w:eastAsia="uk-UA"/>
              </w:rPr>
              <w:t>, визначені</w:t>
            </w:r>
            <w:r w:rsidR="00A84331" w:rsidRPr="00025904">
              <w:rPr>
                <w:bCs/>
                <w:lang w:val="uk-UA" w:eastAsia="uk-UA"/>
              </w:rPr>
              <w:t xml:space="preserve"> діючи</w:t>
            </w:r>
            <w:r>
              <w:rPr>
                <w:bCs/>
                <w:lang w:val="uk-UA" w:eastAsia="uk-UA"/>
              </w:rPr>
              <w:t xml:space="preserve">ми нормативними </w:t>
            </w:r>
            <w:r w:rsidRPr="004605D2">
              <w:rPr>
                <w:bCs/>
                <w:lang w:val="uk-UA" w:eastAsia="uk-UA"/>
              </w:rPr>
              <w:t>документами</w:t>
            </w:r>
            <w:r w:rsidR="00A84331" w:rsidRPr="004605D2">
              <w:rPr>
                <w:bCs/>
                <w:lang w:val="uk-UA" w:eastAsia="uk-UA"/>
              </w:rPr>
              <w:t>.</w:t>
            </w:r>
          </w:p>
          <w:p w:rsidR="00A84331" w:rsidRDefault="00A84331" w:rsidP="00A84331">
            <w:pPr>
              <w:jc w:val="both"/>
              <w:rPr>
                <w:lang w:val="uk-UA"/>
              </w:rPr>
            </w:pPr>
            <w:r w:rsidRPr="004605D2">
              <w:rPr>
                <w:lang w:val="uk-UA"/>
              </w:rPr>
              <w:t>Щодо</w:t>
            </w:r>
            <w:r w:rsidR="004605D2">
              <w:rPr>
                <w:lang w:val="uk-UA"/>
              </w:rPr>
              <w:t xml:space="preserve"> питань</w:t>
            </w:r>
            <w:r w:rsidRPr="004605D2">
              <w:rPr>
                <w:lang w:val="uk-UA"/>
              </w:rPr>
              <w:t xml:space="preserve"> боротьби з деградацією земель та </w:t>
            </w:r>
            <w:proofErr w:type="spellStart"/>
            <w:r w:rsidRPr="004605D2">
              <w:rPr>
                <w:lang w:val="uk-UA"/>
              </w:rPr>
              <w:t>опустелюванням</w:t>
            </w:r>
            <w:proofErr w:type="spellEnd"/>
            <w:r w:rsidRPr="004605D2">
              <w:rPr>
                <w:lang w:val="uk-UA"/>
              </w:rPr>
              <w:t xml:space="preserve">, </w:t>
            </w:r>
            <w:r>
              <w:rPr>
                <w:lang w:val="uk-UA"/>
              </w:rPr>
              <w:t>проводиться уточнення площ громади, на яких можуть бути передбачені відповідні заходи.</w:t>
            </w:r>
          </w:p>
          <w:p w:rsidR="00A84331" w:rsidRDefault="00E5795D" w:rsidP="00A8433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</w:t>
            </w:r>
            <w:r>
              <w:rPr>
                <w:lang w:val="uk-UA"/>
              </w:rPr>
              <w:t xml:space="preserve">ані щодо рівня </w:t>
            </w:r>
            <w:r w:rsidRPr="00717128">
              <w:rPr>
                <w:lang w:val="uk-UA"/>
              </w:rPr>
              <w:t>гумусу</w:t>
            </w:r>
            <w:r>
              <w:rPr>
                <w:lang w:val="uk-UA"/>
              </w:rPr>
              <w:t xml:space="preserve"> у </w:t>
            </w:r>
            <w:proofErr w:type="spellStart"/>
            <w:r>
              <w:rPr>
                <w:lang w:val="uk-UA"/>
              </w:rPr>
              <w:t>грунтах</w:t>
            </w:r>
            <w:proofErr w:type="spellEnd"/>
            <w:r w:rsidRPr="00717128">
              <w:rPr>
                <w:lang w:val="uk-UA"/>
              </w:rPr>
              <w:t xml:space="preserve"> </w:t>
            </w:r>
            <w:r>
              <w:rPr>
                <w:lang w:val="uk-UA"/>
              </w:rPr>
              <w:t>території</w:t>
            </w:r>
            <w:r w:rsidRPr="00717128">
              <w:rPr>
                <w:lang w:val="uk-UA"/>
              </w:rPr>
              <w:t xml:space="preserve"> </w:t>
            </w:r>
            <w:r>
              <w:rPr>
                <w:lang w:val="uk-UA"/>
              </w:rPr>
              <w:t>громади</w:t>
            </w:r>
            <w:r>
              <w:rPr>
                <w:lang w:val="uk-UA"/>
              </w:rPr>
              <w:t xml:space="preserve"> н</w:t>
            </w:r>
            <w:r w:rsidR="004605D2">
              <w:rPr>
                <w:lang w:val="uk-UA"/>
              </w:rPr>
              <w:t>а даний час не формуються. У</w:t>
            </w:r>
            <w:r w:rsidR="00A84331" w:rsidRPr="00717128">
              <w:rPr>
                <w:lang w:val="uk-UA"/>
              </w:rPr>
              <w:t xml:space="preserve"> подальших програмах за наявності </w:t>
            </w:r>
            <w:r w:rsidR="00A84331">
              <w:rPr>
                <w:lang w:val="uk-UA"/>
              </w:rPr>
              <w:t xml:space="preserve">результатів </w:t>
            </w:r>
            <w:r w:rsidR="00A84331" w:rsidRPr="00717128">
              <w:rPr>
                <w:lang w:val="uk-UA"/>
              </w:rPr>
              <w:t>обстежень дані будуть враховані</w:t>
            </w:r>
            <w:r w:rsidR="00A84331">
              <w:rPr>
                <w:lang w:val="uk-UA"/>
              </w:rPr>
              <w:t>.</w:t>
            </w:r>
          </w:p>
          <w:p w:rsidR="00A84331" w:rsidRPr="00717128" w:rsidRDefault="004605D2" w:rsidP="00A84331">
            <w:pPr>
              <w:jc w:val="both"/>
              <w:rPr>
                <w:b/>
                <w:bCs/>
                <w:lang w:val="uk-UA" w:eastAsia="uk-UA"/>
              </w:rPr>
            </w:pPr>
            <w:r>
              <w:rPr>
                <w:lang w:val="uk-UA"/>
              </w:rPr>
              <w:t>На території</w:t>
            </w:r>
            <w:r w:rsidR="00A84331">
              <w:rPr>
                <w:lang w:val="uk-UA"/>
              </w:rPr>
              <w:t xml:space="preserve"> громади </w:t>
            </w:r>
            <w:r w:rsidR="00A84331" w:rsidRPr="00717128">
              <w:rPr>
                <w:lang w:val="uk-UA"/>
              </w:rPr>
              <w:t xml:space="preserve">не здійснюються </w:t>
            </w:r>
            <w:proofErr w:type="spellStart"/>
            <w:r w:rsidR="00A84331" w:rsidRPr="00717128">
              <w:rPr>
                <w:lang w:val="uk-UA"/>
              </w:rPr>
              <w:t>про</w:t>
            </w:r>
            <w:r w:rsidR="00A84331">
              <w:rPr>
                <w:lang w:val="uk-UA"/>
              </w:rPr>
              <w:t>є</w:t>
            </w:r>
            <w:r w:rsidR="00A84331" w:rsidRPr="00717128">
              <w:rPr>
                <w:lang w:val="uk-UA"/>
              </w:rPr>
              <w:t>кти</w:t>
            </w:r>
            <w:proofErr w:type="spellEnd"/>
            <w:r w:rsidR="00A84331" w:rsidRPr="00717128">
              <w:rPr>
                <w:lang w:val="uk-UA"/>
              </w:rPr>
              <w:t xml:space="preserve"> зрошення та дренажу</w:t>
            </w:r>
            <w:r w:rsidR="00A84331">
              <w:rPr>
                <w:lang w:val="uk-UA"/>
              </w:rPr>
              <w:t>.</w:t>
            </w:r>
          </w:p>
        </w:tc>
      </w:tr>
      <w:tr w:rsidR="00B62733" w:rsidRPr="004E7AE9" w:rsidTr="00E5795D">
        <w:trPr>
          <w:trHeight w:val="377"/>
        </w:trPr>
        <w:tc>
          <w:tcPr>
            <w:tcW w:w="458" w:type="dxa"/>
          </w:tcPr>
          <w:p w:rsidR="00B62733" w:rsidRPr="00717128" w:rsidRDefault="00C32736" w:rsidP="00B627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4363" w:type="dxa"/>
          </w:tcPr>
          <w:p w:rsidR="00B62733" w:rsidRDefault="00025904" w:rsidP="00E5795D">
            <w:pPr>
              <w:pStyle w:val="a6"/>
              <w:spacing w:after="200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025904">
              <w:rPr>
                <w:lang w:val="uk-UA"/>
              </w:rPr>
              <w:t>еребачити доповнення розділу 5 «Охорона навколишнього природного середовища, безпека життєдіяльності» та інших належних складових Програми пріоритетними завданнями та заходами щодо упорядкування орних земель шляхом виведення з їх складу схилів, земель водоохоронних зон (у т</w:t>
            </w:r>
            <w:r w:rsidR="00C32736">
              <w:rPr>
                <w:lang w:val="uk-UA"/>
              </w:rPr>
              <w:t>. ч.</w:t>
            </w:r>
            <w:r w:rsidRPr="00025904">
              <w:rPr>
                <w:lang w:val="uk-UA"/>
              </w:rPr>
              <w:t xml:space="preserve"> заплав), </w:t>
            </w:r>
            <w:proofErr w:type="spellStart"/>
            <w:r w:rsidRPr="00025904">
              <w:rPr>
                <w:lang w:val="uk-UA"/>
              </w:rPr>
              <w:t>ерозійно</w:t>
            </w:r>
            <w:proofErr w:type="spellEnd"/>
            <w:r w:rsidRPr="00025904">
              <w:rPr>
                <w:lang w:val="uk-UA"/>
              </w:rPr>
              <w:t xml:space="preserve"> небезпечних та інших непридатних для розорювання угідь, відтворення лісів, створення нових та реконструкції існуючих полезахисних лісових смуг та інших захисних насаджень, відновлення лучних, водно-болотних та інших </w:t>
            </w:r>
            <w:proofErr w:type="spellStart"/>
            <w:r w:rsidRPr="00025904">
              <w:rPr>
                <w:lang w:val="uk-UA"/>
              </w:rPr>
              <w:t>антропогенно</w:t>
            </w:r>
            <w:proofErr w:type="spellEnd"/>
            <w:r w:rsidRPr="00025904">
              <w:rPr>
                <w:lang w:val="uk-UA"/>
              </w:rPr>
              <w:t xml:space="preserve"> змінених екосистем, створення і відновлення сіножатей та пасовищ, створення нових та збереження існуючих територій та об’єктів природно-заповідного фонду, формування </w:t>
            </w:r>
            <w:proofErr w:type="spellStart"/>
            <w:r w:rsidRPr="00025904">
              <w:rPr>
                <w:lang w:val="uk-UA"/>
              </w:rPr>
              <w:t>екомережі</w:t>
            </w:r>
            <w:proofErr w:type="spellEnd"/>
            <w:r w:rsidRPr="00025904">
              <w:rPr>
                <w:lang w:val="uk-UA"/>
              </w:rPr>
              <w:t xml:space="preserve">, реалізації добровільних національних завдань </w:t>
            </w:r>
            <w:r w:rsidRPr="00025904">
              <w:rPr>
                <w:lang w:val="uk-UA"/>
              </w:rPr>
              <w:lastRenderedPageBreak/>
              <w:t xml:space="preserve">щодо досягнення нейтрального рівня деградації земель. </w:t>
            </w:r>
            <w:r w:rsidRPr="008B2380">
              <w:rPr>
                <w:lang w:val="uk-UA"/>
              </w:rPr>
              <w:t xml:space="preserve">Відповідно: серед очікуваних результатів виконання Програми за цим та іншими відповідними розділами пропонуємо передбачити:  збільшення площі </w:t>
            </w:r>
            <w:r w:rsidR="00C61CB7">
              <w:rPr>
                <w:lang w:val="uk-UA"/>
              </w:rPr>
              <w:t>лісів та лісистості території;</w:t>
            </w:r>
            <w:r w:rsidRPr="008B2380">
              <w:rPr>
                <w:lang w:val="uk-UA"/>
              </w:rPr>
              <w:t xml:space="preserve"> зменшення площі орних земель (ріллі) та їх частки у загальній площі території;  збільшення площі сільськогосподарських угідь екстенсивного використання (сіножатей та пасовищ) та їх частки у загальній площі території;  збереження та підвищення вмісту органічного вуглецю (гумусу) у ґрунтах с</w:t>
            </w:r>
            <w:r w:rsidR="00C61CB7">
              <w:rPr>
                <w:lang w:val="uk-UA"/>
              </w:rPr>
              <w:t xml:space="preserve">ільськогосподарських угідь; </w:t>
            </w:r>
            <w:r w:rsidRPr="008B2380">
              <w:rPr>
                <w:lang w:val="uk-UA"/>
              </w:rPr>
              <w:t xml:space="preserve">збільшення площі відновлених земель та екосистем, площі рекультивованих земель та земель, на яких проводяться заходи з консервації; збільшення площі територій екологічної мережі; збільшення кількості та площі територій та об'єктів </w:t>
            </w:r>
            <w:r w:rsidR="00A16023">
              <w:rPr>
                <w:lang w:val="uk-UA"/>
              </w:rPr>
              <w:t>природно-</w:t>
            </w:r>
            <w:r w:rsidR="00E5795D" w:rsidRPr="008B2380">
              <w:rPr>
                <w:lang w:val="uk-UA"/>
              </w:rPr>
              <w:t>заповідного</w:t>
            </w:r>
            <w:r w:rsidRPr="008B2380">
              <w:rPr>
                <w:lang w:val="uk-UA"/>
              </w:rPr>
              <w:t xml:space="preserve"> фонду. </w:t>
            </w:r>
            <w:r w:rsidR="00C61CB7">
              <w:rPr>
                <w:lang w:val="uk-UA"/>
              </w:rPr>
              <w:t>З</w:t>
            </w:r>
            <w:r w:rsidRPr="008B2380">
              <w:rPr>
                <w:lang w:val="uk-UA"/>
              </w:rPr>
              <w:t xml:space="preserve"> огляду на вищенаведене, також пропонуємо передбачити доповнення Програми (у розділі 5, додатку 1 та ін.) відповідними індикаторами/показниками оцінки виконання</w:t>
            </w:r>
            <w:r w:rsidR="00E5795D">
              <w:rPr>
                <w:lang w:val="uk-UA"/>
              </w:rPr>
              <w:t xml:space="preserve">: </w:t>
            </w:r>
            <w:r w:rsidRPr="008B2380">
              <w:rPr>
                <w:lang w:val="uk-UA"/>
              </w:rPr>
              <w:t>площа лісів та лісистість території; площа орних земель (ріллі) та їх частка у загальній площі території; площа сільськогосподарських угідь екстенсивного використання (сіножатей та пасовищ) та їх частка у загальній площі території; вміст органічного вуглецю (гумусу) у ґрунтах сільськогосподарських угідь; площа відновлених земель та екосистем, площа рекультивованих земель та земель, на яких проводяться заходи з консервації;  площа територій національної екологічної мережі; кількість територій та об’єктів природно-заповідного фонду, площа земель територій та об’єктів природно-заповідного фонду та їх частка у загальній площі території.</w:t>
            </w:r>
          </w:p>
          <w:p w:rsidR="002623B9" w:rsidRDefault="002623B9" w:rsidP="00E5795D">
            <w:pPr>
              <w:pStyle w:val="a6"/>
              <w:spacing w:after="200"/>
              <w:ind w:left="0"/>
              <w:jc w:val="both"/>
              <w:rPr>
                <w:lang w:val="uk-UA"/>
              </w:rPr>
            </w:pPr>
          </w:p>
          <w:p w:rsidR="002623B9" w:rsidRPr="00717128" w:rsidRDefault="002623B9" w:rsidP="00E5795D">
            <w:pPr>
              <w:pStyle w:val="a6"/>
              <w:spacing w:after="200"/>
              <w:ind w:left="0"/>
              <w:jc w:val="both"/>
              <w:rPr>
                <w:lang w:val="uk-UA"/>
              </w:rPr>
            </w:pPr>
          </w:p>
        </w:tc>
        <w:tc>
          <w:tcPr>
            <w:tcW w:w="1701" w:type="dxa"/>
          </w:tcPr>
          <w:p w:rsidR="00B62733" w:rsidRPr="00717128" w:rsidRDefault="00025904" w:rsidP="00B627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Враховано частково</w:t>
            </w:r>
          </w:p>
        </w:tc>
        <w:tc>
          <w:tcPr>
            <w:tcW w:w="3253" w:type="dxa"/>
          </w:tcPr>
          <w:p w:rsidR="00A16023" w:rsidRDefault="004F7C45" w:rsidP="000259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У </w:t>
            </w:r>
            <w:proofErr w:type="spellStart"/>
            <w:r>
              <w:rPr>
                <w:lang w:val="uk-UA"/>
              </w:rPr>
              <w:t>проєкті</w:t>
            </w:r>
            <w:proofErr w:type="spellEnd"/>
            <w:r>
              <w:rPr>
                <w:lang w:val="uk-UA"/>
              </w:rPr>
              <w:t xml:space="preserve"> Програми передбачено заходи, пов’язані</w:t>
            </w:r>
            <w:r w:rsidR="00A16023">
              <w:rPr>
                <w:lang w:val="uk-UA"/>
              </w:rPr>
              <w:t xml:space="preserve"> з створенням </w:t>
            </w:r>
            <w:r w:rsidR="00A16023" w:rsidRPr="005875FE">
              <w:rPr>
                <w:lang w:val="uk-UA"/>
              </w:rPr>
              <w:t>нових</w:t>
            </w:r>
            <w:r w:rsidR="00A16023" w:rsidRPr="00FA37DE">
              <w:rPr>
                <w:lang w:val="uk-UA"/>
              </w:rPr>
              <w:t xml:space="preserve"> та збереження існуючих територій та об’єктів природно-заповідного </w:t>
            </w:r>
            <w:r w:rsidR="00A16023">
              <w:rPr>
                <w:lang w:val="uk-UA"/>
              </w:rPr>
              <w:t>ф</w:t>
            </w:r>
            <w:r w:rsidR="00A16023" w:rsidRPr="00FA37DE">
              <w:rPr>
                <w:lang w:val="uk-UA"/>
              </w:rPr>
              <w:t>онду</w:t>
            </w:r>
            <w:r w:rsidR="00A16023">
              <w:rPr>
                <w:lang w:val="uk-UA"/>
              </w:rPr>
              <w:t xml:space="preserve"> і відповідні індикатори.</w:t>
            </w:r>
          </w:p>
          <w:p w:rsidR="00A16023" w:rsidRDefault="00A16023" w:rsidP="00A16023">
            <w:pPr>
              <w:jc w:val="both"/>
              <w:rPr>
                <w:rFonts w:ascii="Times New Roman CYR" w:hAnsi="Times New Roman CYR" w:cs="Times New Roman CYR"/>
                <w:bCs/>
                <w:lang w:val="uk-UA"/>
              </w:rPr>
            </w:pPr>
            <w:r>
              <w:rPr>
                <w:lang w:val="uk-UA"/>
              </w:rPr>
              <w:t>Також</w:t>
            </w:r>
            <w:r w:rsidRPr="005875FE">
              <w:rPr>
                <w:lang w:val="uk-UA"/>
              </w:rPr>
              <w:t xml:space="preserve"> </w:t>
            </w:r>
            <w:r>
              <w:rPr>
                <w:lang w:val="uk-UA"/>
              </w:rPr>
              <w:t>с</w:t>
            </w:r>
            <w:r w:rsidRPr="005875FE">
              <w:rPr>
                <w:lang w:val="uk-UA"/>
              </w:rPr>
              <w:t>творення нових</w:t>
            </w:r>
            <w:r w:rsidRPr="00FA37DE">
              <w:rPr>
                <w:lang w:val="uk-UA"/>
              </w:rPr>
              <w:t xml:space="preserve"> та збереження існуючих територій та об’єктів природно-заповідного </w:t>
            </w:r>
            <w:r>
              <w:rPr>
                <w:lang w:val="uk-UA"/>
              </w:rPr>
              <w:t>ф</w:t>
            </w:r>
            <w:r w:rsidRPr="00FA37DE">
              <w:rPr>
                <w:lang w:val="uk-UA"/>
              </w:rPr>
              <w:t xml:space="preserve">онду, </w:t>
            </w:r>
            <w:r w:rsidRPr="0067540C">
              <w:rPr>
                <w:color w:val="000000" w:themeColor="text1"/>
                <w:shd w:val="clear" w:color="auto" w:fill="FFFFFF"/>
                <w:lang w:val="uk-UA"/>
              </w:rPr>
              <w:t>проведення спеціальних  заходів, спрямованих на запобігання знищенню чи пошкодженню природних комплексів територій та об'єктів природно-заповідного фонду</w:t>
            </w:r>
            <w:r>
              <w:rPr>
                <w:color w:val="000000" w:themeColor="text1"/>
                <w:shd w:val="clear" w:color="auto" w:fill="FFFFFF"/>
                <w:lang w:val="uk-UA"/>
              </w:rPr>
              <w:t xml:space="preserve">  передбачено  Програмою охорони довкілля  Хмельницької міської територіальної громади  на </w:t>
            </w:r>
            <w:r>
              <w:rPr>
                <w:color w:val="000000" w:themeColor="text1"/>
                <w:shd w:val="clear" w:color="auto" w:fill="FFFFFF"/>
                <w:lang w:val="uk-UA"/>
              </w:rPr>
              <w:lastRenderedPageBreak/>
              <w:t xml:space="preserve">2021-2025 роки, затвердженої рішенням міської ради </w:t>
            </w:r>
            <w:r w:rsidRPr="0067540C">
              <w:rPr>
                <w:rFonts w:ascii="Times New Roman CYR" w:hAnsi="Times New Roman CYR" w:cs="Times New Roman CYR"/>
                <w:bCs/>
                <w:lang w:val="uk-UA"/>
              </w:rPr>
              <w:t xml:space="preserve">від </w:t>
            </w:r>
            <w:r>
              <w:rPr>
                <w:rFonts w:ascii="Times New Roman CYR" w:hAnsi="Times New Roman CYR" w:cs="Times New Roman CYR"/>
                <w:bCs/>
                <w:lang w:val="uk-UA"/>
              </w:rPr>
              <w:t xml:space="preserve"> 21</w:t>
            </w:r>
            <w:r>
              <w:rPr>
                <w:rFonts w:ascii="Times New Roman CYR" w:hAnsi="Times New Roman CYR" w:cs="Times New Roman CYR"/>
                <w:bCs/>
                <w:lang w:val="uk-UA"/>
              </w:rPr>
              <w:t>,04.</w:t>
            </w:r>
            <w:r>
              <w:rPr>
                <w:rFonts w:ascii="Times New Roman CYR" w:hAnsi="Times New Roman CYR" w:cs="Times New Roman CYR"/>
                <w:bCs/>
                <w:lang w:val="uk-UA"/>
              </w:rPr>
              <w:t>2021 року  №</w:t>
            </w:r>
            <w:r w:rsidRPr="0067540C">
              <w:rPr>
                <w:rFonts w:ascii="Times New Roman CYR" w:hAnsi="Times New Roman CYR" w:cs="Times New Roman CYR"/>
                <w:bCs/>
                <w:lang w:val="uk-UA"/>
              </w:rPr>
              <w:t>69</w:t>
            </w:r>
            <w:r>
              <w:rPr>
                <w:rFonts w:ascii="Times New Roman CYR" w:hAnsi="Times New Roman CYR" w:cs="Times New Roman CYR"/>
                <w:bCs/>
                <w:lang w:val="uk-UA"/>
              </w:rPr>
              <w:t xml:space="preserve">. </w:t>
            </w:r>
          </w:p>
          <w:p w:rsidR="00A16023" w:rsidRPr="004E7AE9" w:rsidRDefault="00A16023" w:rsidP="00A16023">
            <w:pPr>
              <w:jc w:val="both"/>
              <w:rPr>
                <w:color w:val="000000" w:themeColor="text1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hd w:val="clear" w:color="auto" w:fill="FFFFFF"/>
                <w:lang w:val="uk-UA"/>
              </w:rPr>
              <w:t>Р</w:t>
            </w:r>
            <w:r>
              <w:rPr>
                <w:color w:val="000000" w:themeColor="text1"/>
                <w:shd w:val="clear" w:color="auto" w:fill="FFFFFF"/>
                <w:lang w:val="uk-UA"/>
              </w:rPr>
              <w:t xml:space="preserve">ішенням міської ради від </w:t>
            </w:r>
            <w:r>
              <w:rPr>
                <w:color w:val="000000" w:themeColor="text1"/>
                <w:shd w:val="clear" w:color="auto" w:fill="FFFFFF"/>
                <w:lang w:val="uk-UA"/>
              </w:rPr>
              <w:t>0</w:t>
            </w:r>
            <w:r>
              <w:rPr>
                <w:color w:val="000000" w:themeColor="text1"/>
                <w:shd w:val="clear" w:color="auto" w:fill="FFFFFF"/>
                <w:lang w:val="uk-UA"/>
              </w:rPr>
              <w:t>9.10.2019 року №37 затверджено схему</w:t>
            </w:r>
            <w:r>
              <w:rPr>
                <w:color w:val="000000" w:themeColor="text1"/>
                <w:shd w:val="clear" w:color="auto" w:fill="FFFFFF"/>
                <w:lang w:val="uk-UA"/>
              </w:rPr>
              <w:t xml:space="preserve"> екологічної мережі міста.</w:t>
            </w:r>
          </w:p>
          <w:p w:rsidR="00025904" w:rsidRDefault="00A16023" w:rsidP="000259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Для вирішення питання </w:t>
            </w:r>
            <w:r w:rsidR="00B62733" w:rsidRPr="00717128">
              <w:rPr>
                <w:lang w:val="uk-UA"/>
              </w:rPr>
              <w:t xml:space="preserve"> вилуч</w:t>
            </w:r>
            <w:r>
              <w:rPr>
                <w:lang w:val="uk-UA"/>
              </w:rPr>
              <w:t>ення земель</w:t>
            </w:r>
            <w:r w:rsidR="00B62733" w:rsidRPr="00717128">
              <w:rPr>
                <w:lang w:val="uk-UA"/>
              </w:rPr>
              <w:t xml:space="preserve"> водоохоронних зон </w:t>
            </w:r>
            <w:r w:rsidR="00B62733">
              <w:rPr>
                <w:lang w:val="uk-UA"/>
              </w:rPr>
              <w:t>встановлюються відповідні категорії</w:t>
            </w:r>
            <w:r w:rsidR="00B62733" w:rsidRPr="00717128">
              <w:rPr>
                <w:lang w:val="uk-UA"/>
              </w:rPr>
              <w:t xml:space="preserve"> та проводиться уточнення площ угідь</w:t>
            </w:r>
            <w:r>
              <w:rPr>
                <w:lang w:val="uk-UA"/>
              </w:rPr>
              <w:t>,</w:t>
            </w:r>
            <w:r w:rsidR="00B62733" w:rsidRPr="00717128">
              <w:rPr>
                <w:lang w:val="uk-UA"/>
              </w:rPr>
              <w:t xml:space="preserve"> віднесених до </w:t>
            </w:r>
            <w:r w:rsidR="00025904">
              <w:rPr>
                <w:lang w:val="uk-UA"/>
              </w:rPr>
              <w:t>громади</w:t>
            </w:r>
            <w:r w:rsidR="00B62733">
              <w:rPr>
                <w:lang w:val="uk-UA"/>
              </w:rPr>
              <w:t>.</w:t>
            </w:r>
          </w:p>
          <w:p w:rsidR="00FA37DE" w:rsidRPr="00672F39" w:rsidRDefault="00FA37DE" w:rsidP="00A16023">
            <w:pPr>
              <w:jc w:val="both"/>
              <w:rPr>
                <w:lang w:val="uk-UA"/>
              </w:rPr>
            </w:pPr>
          </w:p>
        </w:tc>
      </w:tr>
      <w:tr w:rsidR="00B62733" w:rsidRPr="002623B9" w:rsidTr="00E5795D">
        <w:trPr>
          <w:trHeight w:val="596"/>
        </w:trPr>
        <w:tc>
          <w:tcPr>
            <w:tcW w:w="458" w:type="dxa"/>
          </w:tcPr>
          <w:p w:rsidR="00B62733" w:rsidRPr="00717128" w:rsidRDefault="00B62733" w:rsidP="00B6273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9317" w:type="dxa"/>
            <w:gridSpan w:val="3"/>
            <w:shd w:val="clear" w:color="auto" w:fill="auto"/>
          </w:tcPr>
          <w:p w:rsidR="00B62733" w:rsidRPr="00717128" w:rsidRDefault="00B62733" w:rsidP="00B62733">
            <w:pPr>
              <w:spacing w:before="120" w:after="120"/>
              <w:jc w:val="center"/>
              <w:rPr>
                <w:b/>
                <w:highlight w:val="yellow"/>
                <w:lang w:val="uk-UA"/>
              </w:rPr>
            </w:pPr>
            <w:r w:rsidRPr="00717128">
              <w:rPr>
                <w:b/>
                <w:lang w:val="uk-UA"/>
              </w:rPr>
              <w:t xml:space="preserve">Звіт про стратегічну екологічну оцінку </w:t>
            </w:r>
            <w:proofErr w:type="spellStart"/>
            <w:r w:rsidRPr="00717128">
              <w:rPr>
                <w:b/>
                <w:lang w:val="uk-UA"/>
              </w:rPr>
              <w:t>проєкту</w:t>
            </w:r>
            <w:proofErr w:type="spellEnd"/>
            <w:r w:rsidRPr="00717128">
              <w:rPr>
                <w:b/>
                <w:lang w:val="uk-UA"/>
              </w:rPr>
              <w:t xml:space="preserve"> </w:t>
            </w:r>
            <w:r w:rsidR="002623B9">
              <w:rPr>
                <w:b/>
                <w:lang w:val="uk-UA"/>
              </w:rPr>
              <w:t>Програми</w:t>
            </w:r>
            <w:r w:rsidR="002623B9" w:rsidRPr="00717128">
              <w:rPr>
                <w:b/>
                <w:lang w:val="uk-UA"/>
              </w:rPr>
              <w:t xml:space="preserve"> </w:t>
            </w:r>
            <w:r w:rsidR="002623B9" w:rsidRPr="00717128">
              <w:rPr>
                <w:b/>
                <w:lang w:val="uk-UA"/>
              </w:rPr>
              <w:t>економічного і соціального розвитку Хмельницької міської територіальної громади на 2022 рік</w:t>
            </w:r>
          </w:p>
        </w:tc>
      </w:tr>
      <w:tr w:rsidR="004F6BCF" w:rsidRPr="004F6BCF" w:rsidTr="00E5795D">
        <w:tc>
          <w:tcPr>
            <w:tcW w:w="458" w:type="dxa"/>
          </w:tcPr>
          <w:p w:rsidR="004F6BCF" w:rsidRPr="000E5B9C" w:rsidRDefault="004F6BCF" w:rsidP="004F6BCF">
            <w:pPr>
              <w:jc w:val="center"/>
              <w:rPr>
                <w:lang w:val="uk-UA"/>
              </w:rPr>
            </w:pPr>
            <w:r w:rsidRPr="00E81AC3">
              <w:rPr>
                <w:lang w:val="en-US"/>
              </w:rPr>
              <w:t>1</w:t>
            </w:r>
            <w:r w:rsidR="000E5B9C">
              <w:rPr>
                <w:lang w:val="uk-UA"/>
              </w:rPr>
              <w:t>.</w:t>
            </w:r>
          </w:p>
        </w:tc>
        <w:tc>
          <w:tcPr>
            <w:tcW w:w="4363" w:type="dxa"/>
          </w:tcPr>
          <w:p w:rsidR="004F6BCF" w:rsidRPr="00E81AC3" w:rsidRDefault="004F6BCF" w:rsidP="000E5B9C">
            <w:pPr>
              <w:jc w:val="both"/>
              <w:rPr>
                <w:lang w:val="uk-UA"/>
              </w:rPr>
            </w:pPr>
            <w:proofErr w:type="spellStart"/>
            <w:r>
              <w:t>Розділи</w:t>
            </w:r>
            <w:proofErr w:type="spellEnd"/>
            <w:r w:rsidRPr="000E5B9C">
              <w:t xml:space="preserve"> 2-7 </w:t>
            </w:r>
            <w:proofErr w:type="spellStart"/>
            <w:r>
              <w:t>додатково</w:t>
            </w:r>
            <w:proofErr w:type="spellEnd"/>
            <w:r w:rsidRPr="000E5B9C">
              <w:t xml:space="preserve"> </w:t>
            </w:r>
            <w:proofErr w:type="spellStart"/>
            <w:r>
              <w:t>опрацювати</w:t>
            </w:r>
            <w:proofErr w:type="spellEnd"/>
            <w:r w:rsidRPr="000E5B9C">
              <w:t xml:space="preserve">, </w:t>
            </w:r>
            <w:proofErr w:type="spellStart"/>
            <w:r>
              <w:t>забезпечивши</w:t>
            </w:r>
            <w:proofErr w:type="spellEnd"/>
            <w:r w:rsidRPr="000E5B9C">
              <w:t xml:space="preserve"> </w:t>
            </w:r>
            <w:proofErr w:type="spellStart"/>
            <w:r>
              <w:t>викладення</w:t>
            </w:r>
            <w:proofErr w:type="spellEnd"/>
            <w:r w:rsidRPr="000E5B9C">
              <w:t xml:space="preserve"> </w:t>
            </w:r>
            <w:proofErr w:type="spellStart"/>
            <w:r>
              <w:t>повних</w:t>
            </w:r>
            <w:proofErr w:type="spellEnd"/>
            <w:r w:rsidRPr="000E5B9C">
              <w:t xml:space="preserve"> </w:t>
            </w:r>
            <w:proofErr w:type="spellStart"/>
            <w:r>
              <w:t>відомостей</w:t>
            </w:r>
            <w:proofErr w:type="spellEnd"/>
            <w:r w:rsidRPr="000E5B9C">
              <w:t xml:space="preserve"> </w:t>
            </w:r>
            <w:proofErr w:type="spellStart"/>
            <w:r>
              <w:t>щодо</w:t>
            </w:r>
            <w:proofErr w:type="spellEnd"/>
            <w:r w:rsidRPr="000E5B9C">
              <w:t xml:space="preserve"> </w:t>
            </w:r>
            <w:proofErr w:type="spellStart"/>
            <w:r>
              <w:t>природоохоронних</w:t>
            </w:r>
            <w:proofErr w:type="spellEnd"/>
            <w:r w:rsidRPr="000E5B9C">
              <w:t xml:space="preserve"> </w:t>
            </w:r>
            <w:proofErr w:type="spellStart"/>
            <w:r>
              <w:t>територій</w:t>
            </w:r>
            <w:proofErr w:type="spellEnd"/>
            <w:r w:rsidRPr="000E5B9C">
              <w:t xml:space="preserve"> </w:t>
            </w:r>
            <w:r>
              <w:t>та</w:t>
            </w:r>
            <w:r w:rsidRPr="000E5B9C">
              <w:t xml:space="preserve"> </w:t>
            </w:r>
            <w:proofErr w:type="spellStart"/>
            <w:r>
              <w:t>об</w:t>
            </w:r>
            <w:r w:rsidRPr="000E5B9C">
              <w:t>’</w:t>
            </w:r>
            <w:r>
              <w:t>єктів</w:t>
            </w:r>
            <w:proofErr w:type="spellEnd"/>
            <w:r w:rsidRPr="000E5B9C">
              <w:t xml:space="preserve"> </w:t>
            </w:r>
            <w:r>
              <w:t>і</w:t>
            </w:r>
            <w:r w:rsidRPr="000E5B9C">
              <w:t xml:space="preserve"> </w:t>
            </w:r>
            <w:proofErr w:type="spellStart"/>
            <w:r>
              <w:t>впливу</w:t>
            </w:r>
            <w:proofErr w:type="spellEnd"/>
            <w:r w:rsidRPr="000E5B9C">
              <w:t xml:space="preserve"> </w:t>
            </w:r>
            <w:r>
              <w:t>на</w:t>
            </w:r>
            <w:r w:rsidRPr="000E5B9C">
              <w:t xml:space="preserve"> </w:t>
            </w:r>
            <w:r>
              <w:t>них</w:t>
            </w:r>
            <w:r w:rsidRPr="000E5B9C">
              <w:t xml:space="preserve">, </w:t>
            </w:r>
            <w:proofErr w:type="spellStart"/>
            <w:r>
              <w:lastRenderedPageBreak/>
              <w:t>виходячи</w:t>
            </w:r>
            <w:proofErr w:type="spellEnd"/>
            <w:r w:rsidRPr="000E5B9C">
              <w:t xml:space="preserve"> </w:t>
            </w:r>
            <w:r>
              <w:t>з</w:t>
            </w:r>
            <w:r w:rsidRPr="000E5B9C">
              <w:t xml:space="preserve"> </w:t>
            </w:r>
            <w:proofErr w:type="spellStart"/>
            <w:r>
              <w:t>визначення</w:t>
            </w:r>
            <w:proofErr w:type="spellEnd"/>
            <w:r w:rsidRPr="000E5B9C">
              <w:t xml:space="preserve"> </w:t>
            </w:r>
            <w:proofErr w:type="spellStart"/>
            <w:r>
              <w:t>згідно</w:t>
            </w:r>
            <w:proofErr w:type="spellEnd"/>
            <w:r w:rsidRPr="000E5B9C">
              <w:t xml:space="preserve"> </w:t>
            </w:r>
            <w:r>
              <w:t>з</w:t>
            </w:r>
            <w:r w:rsidRPr="000E5B9C">
              <w:t xml:space="preserve"> </w:t>
            </w:r>
            <w:r>
              <w:t>пунктом</w:t>
            </w:r>
            <w:r w:rsidRPr="000E5B9C">
              <w:t xml:space="preserve"> 9 </w:t>
            </w:r>
            <w:proofErr w:type="spellStart"/>
            <w:r>
              <w:t>додатку</w:t>
            </w:r>
            <w:proofErr w:type="spellEnd"/>
            <w:r w:rsidRPr="000E5B9C">
              <w:t xml:space="preserve"> </w:t>
            </w:r>
            <w:r>
              <w:t>до</w:t>
            </w:r>
            <w:r w:rsidRPr="000E5B9C">
              <w:t xml:space="preserve"> </w:t>
            </w:r>
            <w:r>
              <w:t>Закону</w:t>
            </w:r>
            <w:r w:rsidRPr="000E5B9C">
              <w:t xml:space="preserve"> </w:t>
            </w:r>
            <w:proofErr w:type="spellStart"/>
            <w:r>
              <w:t>України</w:t>
            </w:r>
            <w:proofErr w:type="spellEnd"/>
            <w:r w:rsidRPr="000E5B9C">
              <w:t xml:space="preserve"> «</w:t>
            </w:r>
            <w:r>
              <w:t>Про</w:t>
            </w:r>
            <w:r w:rsidRPr="000E5B9C">
              <w:t xml:space="preserve"> </w:t>
            </w:r>
            <w:proofErr w:type="spellStart"/>
            <w:r>
              <w:t>національну</w:t>
            </w:r>
            <w:proofErr w:type="spellEnd"/>
            <w:r w:rsidRPr="000E5B9C">
              <w:t xml:space="preserve"> </w:t>
            </w:r>
            <w:proofErr w:type="spellStart"/>
            <w:r>
              <w:t>інфраструктуру</w:t>
            </w:r>
            <w:proofErr w:type="spellEnd"/>
            <w:r w:rsidRPr="000E5B9C">
              <w:t xml:space="preserve"> </w:t>
            </w:r>
            <w:proofErr w:type="spellStart"/>
            <w:r>
              <w:t>геопросторових</w:t>
            </w:r>
            <w:proofErr w:type="spellEnd"/>
            <w:r w:rsidRPr="000E5B9C">
              <w:t xml:space="preserve"> </w:t>
            </w:r>
            <w:proofErr w:type="spellStart"/>
            <w:r>
              <w:t>даних</w:t>
            </w:r>
            <w:proofErr w:type="spellEnd"/>
            <w:r w:rsidRPr="000E5B9C">
              <w:t>»</w:t>
            </w:r>
            <w:r w:rsidR="002623B9">
              <w:rPr>
                <w:lang w:val="uk-UA"/>
              </w:rPr>
              <w:t>.</w:t>
            </w:r>
            <w:r w:rsidRPr="000E5B9C">
              <w:t xml:space="preserve"> </w:t>
            </w:r>
          </w:p>
        </w:tc>
        <w:tc>
          <w:tcPr>
            <w:tcW w:w="1701" w:type="dxa"/>
          </w:tcPr>
          <w:p w:rsidR="004F6BCF" w:rsidRPr="00E81AC3" w:rsidRDefault="002623B9" w:rsidP="004F6B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Не </w:t>
            </w:r>
            <w:r w:rsidR="004F6BCF">
              <w:rPr>
                <w:lang w:val="uk-UA"/>
              </w:rPr>
              <w:t>враховано</w:t>
            </w:r>
          </w:p>
        </w:tc>
        <w:tc>
          <w:tcPr>
            <w:tcW w:w="3253" w:type="dxa"/>
          </w:tcPr>
          <w:p w:rsidR="004F6BCF" w:rsidRPr="00E81AC3" w:rsidRDefault="002623B9" w:rsidP="002623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Враховуючи, що </w:t>
            </w:r>
            <w:r>
              <w:rPr>
                <w:lang w:val="uk-UA"/>
              </w:rPr>
              <w:t>на даний час</w:t>
            </w:r>
            <w:r>
              <w:rPr>
                <w:lang w:val="uk-UA"/>
              </w:rPr>
              <w:t xml:space="preserve"> н</w:t>
            </w:r>
            <w:r w:rsidR="004F6BCF" w:rsidRPr="005D1BF2">
              <w:rPr>
                <w:lang w:val="uk-UA"/>
              </w:rPr>
              <w:t>аціональн</w:t>
            </w:r>
            <w:r w:rsidR="004F6BCF">
              <w:rPr>
                <w:lang w:val="uk-UA"/>
              </w:rPr>
              <w:t>а</w:t>
            </w:r>
            <w:r w:rsidR="004F6BCF" w:rsidRPr="005D1BF2">
              <w:rPr>
                <w:lang w:val="uk-UA"/>
              </w:rPr>
              <w:t xml:space="preserve"> інфраструктур</w:t>
            </w:r>
            <w:r w:rsidR="004F6BCF">
              <w:rPr>
                <w:lang w:val="uk-UA"/>
              </w:rPr>
              <w:t>а</w:t>
            </w:r>
            <w:r w:rsidR="004F6BCF" w:rsidRPr="005D1BF2">
              <w:rPr>
                <w:lang w:val="uk-UA"/>
              </w:rPr>
              <w:t xml:space="preserve"> </w:t>
            </w:r>
            <w:proofErr w:type="spellStart"/>
            <w:r w:rsidR="004F6BCF" w:rsidRPr="005D1BF2">
              <w:rPr>
                <w:lang w:val="uk-UA"/>
              </w:rPr>
              <w:t>геопросторових</w:t>
            </w:r>
            <w:proofErr w:type="spellEnd"/>
            <w:r w:rsidR="004F6BCF" w:rsidRPr="005D1BF2">
              <w:rPr>
                <w:lang w:val="uk-UA"/>
              </w:rPr>
              <w:t xml:space="preserve"> даних</w:t>
            </w:r>
            <w:r w:rsidR="004F6BCF">
              <w:rPr>
                <w:lang w:val="uk-UA"/>
              </w:rPr>
              <w:t xml:space="preserve"> не містить повний перелік </w:t>
            </w:r>
            <w:r w:rsidR="004F6BCF" w:rsidRPr="005D1BF2">
              <w:rPr>
                <w:lang w:val="uk-UA"/>
              </w:rPr>
              <w:lastRenderedPageBreak/>
              <w:t xml:space="preserve">відомостей згідно з пунктом 9 додатку до Закону України «Про національну інфраструктуру </w:t>
            </w:r>
            <w:proofErr w:type="spellStart"/>
            <w:r w:rsidR="004F6BCF" w:rsidRPr="005D1BF2">
              <w:rPr>
                <w:lang w:val="uk-UA"/>
              </w:rPr>
              <w:t>геопросторових</w:t>
            </w:r>
            <w:proofErr w:type="spellEnd"/>
            <w:r w:rsidR="004F6BCF" w:rsidRPr="005D1BF2">
              <w:rPr>
                <w:lang w:val="uk-UA"/>
              </w:rPr>
              <w:t xml:space="preserve"> даних»</w:t>
            </w:r>
            <w:r w:rsidR="004F6BCF">
              <w:rPr>
                <w:lang w:val="uk-UA"/>
              </w:rPr>
              <w:t xml:space="preserve"> по </w:t>
            </w:r>
            <w:r>
              <w:rPr>
                <w:lang w:val="uk-UA"/>
              </w:rPr>
              <w:t>громаді, зазначене питання буде опрацьовано та враховано у наступних звітах.</w:t>
            </w:r>
          </w:p>
        </w:tc>
      </w:tr>
      <w:tr w:rsidR="004F6BCF" w:rsidRPr="00717128" w:rsidTr="00E5795D">
        <w:tc>
          <w:tcPr>
            <w:tcW w:w="458" w:type="dxa"/>
          </w:tcPr>
          <w:p w:rsidR="004F6BCF" w:rsidRPr="000E5B9C" w:rsidRDefault="004F6BCF" w:rsidP="004F6BCF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lastRenderedPageBreak/>
              <w:t>2</w:t>
            </w:r>
            <w:r w:rsidR="000E5B9C">
              <w:rPr>
                <w:lang w:val="uk-UA"/>
              </w:rPr>
              <w:t>.</w:t>
            </w:r>
          </w:p>
        </w:tc>
        <w:tc>
          <w:tcPr>
            <w:tcW w:w="4363" w:type="dxa"/>
          </w:tcPr>
          <w:p w:rsidR="004F6BCF" w:rsidRPr="00E81AC3" w:rsidRDefault="004F6BCF" w:rsidP="002623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proofErr w:type="spellStart"/>
            <w:r>
              <w:t>ідомості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територій</w:t>
            </w:r>
            <w:proofErr w:type="spellEnd"/>
            <w:r>
              <w:t xml:space="preserve"> та </w:t>
            </w:r>
            <w:proofErr w:type="spellStart"/>
            <w:r>
              <w:t>об’єктів</w:t>
            </w:r>
            <w:proofErr w:type="spellEnd"/>
            <w:r>
              <w:t xml:space="preserve"> </w:t>
            </w:r>
            <w:proofErr w:type="spellStart"/>
            <w:r>
              <w:t>екомережі</w:t>
            </w:r>
            <w:proofErr w:type="spellEnd"/>
            <w:r>
              <w:t xml:space="preserve"> </w:t>
            </w:r>
            <w:proofErr w:type="spellStart"/>
            <w:r>
              <w:t>наводити</w:t>
            </w:r>
            <w:proofErr w:type="spellEnd"/>
            <w:r>
              <w:t xml:space="preserve"> з </w:t>
            </w:r>
            <w:proofErr w:type="spellStart"/>
            <w:r>
              <w:t>урахуванням</w:t>
            </w:r>
            <w:proofErr w:type="spellEnd"/>
            <w:r>
              <w:t xml:space="preserve"> </w:t>
            </w:r>
            <w:proofErr w:type="spellStart"/>
            <w:r>
              <w:t>переліку</w:t>
            </w:r>
            <w:proofErr w:type="spellEnd"/>
            <w:r>
              <w:t xml:space="preserve"> </w:t>
            </w:r>
            <w:proofErr w:type="spellStart"/>
            <w:r>
              <w:t>складових</w:t>
            </w:r>
            <w:proofErr w:type="spellEnd"/>
            <w:r>
              <w:t xml:space="preserve"> </w:t>
            </w:r>
            <w:proofErr w:type="spellStart"/>
            <w:r>
              <w:t>структурних</w:t>
            </w:r>
            <w:proofErr w:type="spellEnd"/>
            <w:r>
              <w:t xml:space="preserve"> </w:t>
            </w:r>
            <w:proofErr w:type="spellStart"/>
            <w:r>
              <w:t>елементів</w:t>
            </w:r>
            <w:proofErr w:type="spellEnd"/>
            <w:r>
              <w:t xml:space="preserve"> </w:t>
            </w:r>
            <w:proofErr w:type="spellStart"/>
            <w:r>
              <w:t>екомережі</w:t>
            </w:r>
            <w:proofErr w:type="spellEnd"/>
            <w:r>
              <w:t xml:space="preserve">, </w:t>
            </w:r>
            <w:proofErr w:type="spellStart"/>
            <w:r>
              <w:t>який</w:t>
            </w:r>
            <w:proofErr w:type="spellEnd"/>
            <w:r>
              <w:t xml:space="preserve"> </w:t>
            </w:r>
            <w:proofErr w:type="spellStart"/>
            <w:r>
              <w:t>визначений</w:t>
            </w:r>
            <w:proofErr w:type="spellEnd"/>
            <w:r>
              <w:t xml:space="preserve"> </w:t>
            </w:r>
            <w:proofErr w:type="spellStart"/>
            <w:r>
              <w:t>статтею</w:t>
            </w:r>
            <w:proofErr w:type="spellEnd"/>
            <w:r>
              <w:t xml:space="preserve"> 5 Закону </w:t>
            </w:r>
            <w:proofErr w:type="spellStart"/>
            <w:r>
              <w:t>України</w:t>
            </w:r>
            <w:proofErr w:type="spellEnd"/>
            <w:r>
              <w:t xml:space="preserve"> «Про </w:t>
            </w:r>
            <w:proofErr w:type="spellStart"/>
            <w:r>
              <w:t>екологічну</w:t>
            </w:r>
            <w:proofErr w:type="spellEnd"/>
            <w:r>
              <w:t xml:space="preserve"> мережу </w:t>
            </w:r>
            <w:proofErr w:type="spellStart"/>
            <w:r>
              <w:t>України</w:t>
            </w:r>
            <w:proofErr w:type="spellEnd"/>
            <w:r>
              <w:t>».</w:t>
            </w:r>
          </w:p>
        </w:tc>
        <w:tc>
          <w:tcPr>
            <w:tcW w:w="1701" w:type="dxa"/>
          </w:tcPr>
          <w:p w:rsidR="004F6BCF" w:rsidRPr="00E81AC3" w:rsidRDefault="004F6BCF" w:rsidP="004F6BCF">
            <w:pPr>
              <w:jc w:val="center"/>
              <w:rPr>
                <w:color w:val="FF0000"/>
              </w:rPr>
            </w:pPr>
            <w:r>
              <w:rPr>
                <w:lang w:val="uk-UA"/>
              </w:rPr>
              <w:t>Враховано</w:t>
            </w:r>
          </w:p>
        </w:tc>
        <w:tc>
          <w:tcPr>
            <w:tcW w:w="3253" w:type="dxa"/>
          </w:tcPr>
          <w:p w:rsidR="004F6BCF" w:rsidRPr="00E81AC3" w:rsidRDefault="002623B9" w:rsidP="004F6BC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Звіт доповнено.</w:t>
            </w:r>
          </w:p>
        </w:tc>
      </w:tr>
      <w:tr w:rsidR="004F6BCF" w:rsidRPr="00717128" w:rsidTr="00E5795D">
        <w:tc>
          <w:tcPr>
            <w:tcW w:w="458" w:type="dxa"/>
          </w:tcPr>
          <w:p w:rsidR="004F6BCF" w:rsidRPr="000E5B9C" w:rsidRDefault="004F6BCF" w:rsidP="004F6BCF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3</w:t>
            </w:r>
            <w:r w:rsidR="000E5B9C">
              <w:rPr>
                <w:lang w:val="uk-UA"/>
              </w:rPr>
              <w:t>.</w:t>
            </w:r>
          </w:p>
        </w:tc>
        <w:tc>
          <w:tcPr>
            <w:tcW w:w="4363" w:type="dxa"/>
          </w:tcPr>
          <w:p w:rsidR="004F6BCF" w:rsidRPr="00E81AC3" w:rsidRDefault="004F6BCF" w:rsidP="002623B9">
            <w:pPr>
              <w:jc w:val="both"/>
              <w:rPr>
                <w:lang w:val="uk-UA"/>
              </w:rPr>
            </w:pPr>
            <w:r>
              <w:t xml:space="preserve">У </w:t>
            </w:r>
            <w:proofErr w:type="spellStart"/>
            <w:r>
              <w:t>розділі</w:t>
            </w:r>
            <w:proofErr w:type="spellEnd"/>
            <w:r>
              <w:t xml:space="preserve"> 8 «</w:t>
            </w:r>
            <w:proofErr w:type="spellStart"/>
            <w:r>
              <w:t>Обґрунтування</w:t>
            </w:r>
            <w:proofErr w:type="spellEnd"/>
            <w:r>
              <w:t xml:space="preserve"> </w:t>
            </w:r>
            <w:proofErr w:type="spellStart"/>
            <w:r>
              <w:t>вибору</w:t>
            </w:r>
            <w:proofErr w:type="spellEnd"/>
            <w:r>
              <w:t xml:space="preserve"> </w:t>
            </w:r>
            <w:proofErr w:type="spellStart"/>
            <w:r>
              <w:t>виправданих</w:t>
            </w:r>
            <w:proofErr w:type="spellEnd"/>
            <w:r>
              <w:t xml:space="preserve"> альтернатив» </w:t>
            </w:r>
            <w:proofErr w:type="spellStart"/>
            <w:r>
              <w:t>розглянуто</w:t>
            </w:r>
            <w:proofErr w:type="spellEnd"/>
            <w:r>
              <w:t xml:space="preserve"> одну альтернативу, а </w:t>
            </w:r>
            <w:proofErr w:type="spellStart"/>
            <w:r>
              <w:t>саме</w:t>
            </w:r>
            <w:proofErr w:type="spellEnd"/>
            <w:r>
              <w:t xml:space="preserve"> </w:t>
            </w:r>
            <w:proofErr w:type="spellStart"/>
            <w:r>
              <w:t>нульовий</w:t>
            </w:r>
            <w:proofErr w:type="spellEnd"/>
            <w:r>
              <w:t xml:space="preserve"> </w:t>
            </w:r>
            <w:proofErr w:type="spellStart"/>
            <w:r>
              <w:t>сценарій</w:t>
            </w:r>
            <w:proofErr w:type="spellEnd"/>
            <w:r>
              <w:t xml:space="preserve">. </w:t>
            </w:r>
          </w:p>
        </w:tc>
        <w:tc>
          <w:tcPr>
            <w:tcW w:w="1701" w:type="dxa"/>
          </w:tcPr>
          <w:p w:rsidR="004F6BCF" w:rsidRPr="00E81AC3" w:rsidRDefault="004F6BCF" w:rsidP="004F6BCF">
            <w:pPr>
              <w:jc w:val="center"/>
              <w:rPr>
                <w:color w:val="FF0000"/>
              </w:rPr>
            </w:pPr>
            <w:r>
              <w:rPr>
                <w:lang w:val="uk-UA"/>
              </w:rPr>
              <w:t>Враховано</w:t>
            </w:r>
          </w:p>
        </w:tc>
        <w:tc>
          <w:tcPr>
            <w:tcW w:w="3253" w:type="dxa"/>
          </w:tcPr>
          <w:p w:rsidR="004F6BCF" w:rsidRPr="00E81AC3" w:rsidRDefault="002623B9" w:rsidP="004F6BC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 Звіті, який оприлюднювався для громадського обговорення, враховано не тільки нульовий, а і альтернативний сценарій.</w:t>
            </w:r>
          </w:p>
        </w:tc>
      </w:tr>
      <w:tr w:rsidR="004F6BCF" w:rsidRPr="00717128" w:rsidTr="00E5795D">
        <w:tc>
          <w:tcPr>
            <w:tcW w:w="458" w:type="dxa"/>
          </w:tcPr>
          <w:p w:rsidR="004F6BCF" w:rsidRPr="000E5B9C" w:rsidRDefault="004F6BCF" w:rsidP="004F6BCF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4</w:t>
            </w:r>
            <w:r w:rsidR="000E5B9C">
              <w:rPr>
                <w:lang w:val="uk-UA"/>
              </w:rPr>
              <w:t>.</w:t>
            </w:r>
          </w:p>
        </w:tc>
        <w:tc>
          <w:tcPr>
            <w:tcW w:w="4363" w:type="dxa"/>
          </w:tcPr>
          <w:p w:rsidR="004F6BCF" w:rsidRPr="00E81AC3" w:rsidRDefault="004F6BCF" w:rsidP="002623B9">
            <w:pPr>
              <w:jc w:val="both"/>
              <w:rPr>
                <w:lang w:val="uk-UA"/>
              </w:rPr>
            </w:pPr>
            <w:proofErr w:type="spellStart"/>
            <w:r>
              <w:t>Інформація</w:t>
            </w:r>
            <w:proofErr w:type="spellEnd"/>
            <w:r>
              <w:t xml:space="preserve"> </w:t>
            </w:r>
            <w:proofErr w:type="spellStart"/>
            <w:r>
              <w:t>розділу</w:t>
            </w:r>
            <w:proofErr w:type="spellEnd"/>
            <w:r>
              <w:t xml:space="preserve"> 9 «Заходи, </w:t>
            </w:r>
            <w:proofErr w:type="spellStart"/>
            <w:r>
              <w:t>передбачені</w:t>
            </w:r>
            <w:proofErr w:type="spellEnd"/>
            <w:r>
              <w:t xml:space="preserve"> для </w:t>
            </w:r>
            <w:proofErr w:type="spellStart"/>
            <w:r>
              <w:t>здійснення</w:t>
            </w:r>
            <w:proofErr w:type="spellEnd"/>
            <w:r>
              <w:t xml:space="preserve"> </w:t>
            </w:r>
            <w:proofErr w:type="spellStart"/>
            <w:r>
              <w:t>моніторингу</w:t>
            </w:r>
            <w:proofErr w:type="spellEnd"/>
            <w:r>
              <w:t xml:space="preserve"> </w:t>
            </w:r>
            <w:proofErr w:type="spellStart"/>
            <w:r>
              <w:t>наслідків</w:t>
            </w:r>
            <w:proofErr w:type="spellEnd"/>
            <w:r>
              <w:t xml:space="preserve"> </w:t>
            </w:r>
            <w:proofErr w:type="spellStart"/>
            <w:r>
              <w:t>виконання</w:t>
            </w:r>
            <w:proofErr w:type="spellEnd"/>
            <w:r>
              <w:t xml:space="preserve"> документа державног</w:t>
            </w:r>
            <w:r w:rsidR="002623B9">
              <w:t xml:space="preserve">о планування для </w:t>
            </w:r>
            <w:proofErr w:type="spellStart"/>
            <w:r w:rsidR="002623B9">
              <w:t>довкілля</w:t>
            </w:r>
            <w:proofErr w:type="spellEnd"/>
            <w:r w:rsidR="002623B9">
              <w:t>, у т. ч.</w:t>
            </w:r>
            <w:r>
              <w:t xml:space="preserve"> для здоров’я населення» </w:t>
            </w:r>
            <w:proofErr w:type="spellStart"/>
            <w:r>
              <w:t>має</w:t>
            </w:r>
            <w:proofErr w:type="spellEnd"/>
            <w:r>
              <w:t xml:space="preserve"> бути приведена у </w:t>
            </w:r>
            <w:proofErr w:type="spellStart"/>
            <w:r>
              <w:t>відповідність</w:t>
            </w:r>
            <w:proofErr w:type="spellEnd"/>
            <w:r>
              <w:t xml:space="preserve"> до </w:t>
            </w:r>
            <w:proofErr w:type="spellStart"/>
            <w:r>
              <w:t>вимог</w:t>
            </w:r>
            <w:proofErr w:type="spellEnd"/>
            <w:r>
              <w:t xml:space="preserve"> пункту 5 Порядку </w:t>
            </w:r>
            <w:proofErr w:type="spellStart"/>
            <w:r>
              <w:t>здійснення</w:t>
            </w:r>
            <w:proofErr w:type="spellEnd"/>
            <w:r>
              <w:t xml:space="preserve"> </w:t>
            </w:r>
            <w:proofErr w:type="spellStart"/>
            <w:r>
              <w:t>моніторингу</w:t>
            </w:r>
            <w:proofErr w:type="spellEnd"/>
            <w:r>
              <w:t xml:space="preserve"> </w:t>
            </w:r>
            <w:proofErr w:type="spellStart"/>
            <w:r>
              <w:t>наслідків</w:t>
            </w:r>
            <w:proofErr w:type="spellEnd"/>
            <w:r>
              <w:t xml:space="preserve"> </w:t>
            </w:r>
            <w:proofErr w:type="spellStart"/>
            <w:r>
              <w:t>виконання</w:t>
            </w:r>
            <w:proofErr w:type="spellEnd"/>
            <w:r>
              <w:t xml:space="preserve"> документа державного планування для </w:t>
            </w:r>
            <w:proofErr w:type="spellStart"/>
            <w:r>
              <w:t>довкілля</w:t>
            </w:r>
            <w:proofErr w:type="spellEnd"/>
            <w:r>
              <w:t>, у т</w:t>
            </w:r>
            <w:r w:rsidR="002623B9">
              <w:rPr>
                <w:lang w:val="uk-UA"/>
              </w:rPr>
              <w:t>.</w:t>
            </w:r>
            <w:r>
              <w:t xml:space="preserve"> ч</w:t>
            </w:r>
            <w:r w:rsidR="002623B9">
              <w:rPr>
                <w:lang w:val="uk-UA"/>
              </w:rPr>
              <w:t>.</w:t>
            </w:r>
            <w:r>
              <w:t xml:space="preserve"> для здоров’я населення, </w:t>
            </w:r>
            <w:proofErr w:type="spellStart"/>
            <w:r>
              <w:t>затвердженого</w:t>
            </w:r>
            <w:proofErr w:type="spellEnd"/>
            <w:r>
              <w:t xml:space="preserve"> </w:t>
            </w:r>
            <w:proofErr w:type="spellStart"/>
            <w:r>
              <w:t>постановою</w:t>
            </w:r>
            <w:proofErr w:type="spellEnd"/>
            <w:r>
              <w:t xml:space="preserve"> </w:t>
            </w:r>
            <w:proofErr w:type="spellStart"/>
            <w:r>
              <w:t>Кабінету</w:t>
            </w:r>
            <w:proofErr w:type="spellEnd"/>
            <w:r>
              <w:t xml:space="preserve"> </w:t>
            </w:r>
            <w:proofErr w:type="spellStart"/>
            <w:r>
              <w:t>Міністрів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16.12.2020 №1272.</w:t>
            </w:r>
          </w:p>
        </w:tc>
        <w:tc>
          <w:tcPr>
            <w:tcW w:w="1701" w:type="dxa"/>
          </w:tcPr>
          <w:p w:rsidR="004F6BCF" w:rsidRPr="00E81AC3" w:rsidRDefault="004F6BCF" w:rsidP="004F6B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Враховано</w:t>
            </w:r>
          </w:p>
        </w:tc>
        <w:tc>
          <w:tcPr>
            <w:tcW w:w="3253" w:type="dxa"/>
          </w:tcPr>
          <w:p w:rsidR="004F6BCF" w:rsidRPr="00E81AC3" w:rsidRDefault="002623B9" w:rsidP="004F6BC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 Звіті, який оприлюднювався для громадського обговорення</w:t>
            </w:r>
            <w:r>
              <w:rPr>
                <w:lang w:val="uk-UA"/>
              </w:rPr>
              <w:t>, інформація сформовано відповідно до вимог діючого законодавства.</w:t>
            </w:r>
          </w:p>
        </w:tc>
      </w:tr>
    </w:tbl>
    <w:p w:rsidR="00826E09" w:rsidRPr="00B62733" w:rsidRDefault="00826E09" w:rsidP="00F1362D">
      <w:pPr>
        <w:tabs>
          <w:tab w:val="left" w:pos="8787"/>
        </w:tabs>
        <w:ind w:firstLine="567"/>
        <w:jc w:val="both"/>
      </w:pPr>
    </w:p>
    <w:p w:rsidR="00FE4A88" w:rsidRPr="00A0333B" w:rsidRDefault="00A0333B" w:rsidP="00F1362D">
      <w:pPr>
        <w:tabs>
          <w:tab w:val="left" w:pos="8787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Станом на </w:t>
      </w:r>
      <w:r w:rsidR="00826E09">
        <w:rPr>
          <w:lang w:val="uk-UA"/>
        </w:rPr>
        <w:t>27</w:t>
      </w:r>
      <w:r>
        <w:rPr>
          <w:lang w:val="uk-UA"/>
        </w:rPr>
        <w:t>.</w:t>
      </w:r>
      <w:r w:rsidR="00826E09">
        <w:rPr>
          <w:lang w:val="uk-UA"/>
        </w:rPr>
        <w:t>11</w:t>
      </w:r>
      <w:r>
        <w:rPr>
          <w:lang w:val="uk-UA"/>
        </w:rPr>
        <w:t>.2021 року в</w:t>
      </w:r>
      <w:r w:rsidR="001841B8" w:rsidRPr="00A0333B">
        <w:rPr>
          <w:lang w:val="uk-UA"/>
        </w:rPr>
        <w:t>ід Міністерства охорони здоров’я України</w:t>
      </w:r>
      <w:r>
        <w:rPr>
          <w:lang w:val="uk-UA"/>
        </w:rPr>
        <w:t>, Д</w:t>
      </w:r>
      <w:r w:rsidRPr="00A0333B">
        <w:rPr>
          <w:lang w:val="uk-UA"/>
        </w:rPr>
        <w:t xml:space="preserve">епартаменту </w:t>
      </w:r>
      <w:r w:rsidR="00826E09" w:rsidRPr="00A0333B">
        <w:rPr>
          <w:lang w:val="uk-UA"/>
        </w:rPr>
        <w:t xml:space="preserve">природних ресурсів та екології Хмельницької облдержадміністрації </w:t>
      </w:r>
      <w:r>
        <w:rPr>
          <w:lang w:val="uk-UA"/>
        </w:rPr>
        <w:t>зауваження та пропозиції</w:t>
      </w:r>
      <w:r w:rsidR="001841B8" w:rsidRPr="00A0333B">
        <w:rPr>
          <w:lang w:val="uk-UA"/>
        </w:rPr>
        <w:t xml:space="preserve"> не </w:t>
      </w:r>
      <w:r>
        <w:rPr>
          <w:lang w:val="uk-UA"/>
        </w:rPr>
        <w:t>надійшли</w:t>
      </w:r>
      <w:r w:rsidR="001841B8" w:rsidRPr="00A0333B">
        <w:rPr>
          <w:lang w:val="uk-UA"/>
        </w:rPr>
        <w:t xml:space="preserve">. </w:t>
      </w:r>
    </w:p>
    <w:p w:rsidR="00826E09" w:rsidRDefault="00826E09" w:rsidP="00826E09">
      <w:pPr>
        <w:tabs>
          <w:tab w:val="left" w:pos="8787"/>
        </w:tabs>
        <w:ind w:firstLine="567"/>
        <w:jc w:val="both"/>
        <w:rPr>
          <w:lang w:val="uk-UA"/>
        </w:rPr>
      </w:pPr>
      <w:r w:rsidRPr="00266C05">
        <w:rPr>
          <w:lang w:val="uk-UA"/>
        </w:rPr>
        <w:t xml:space="preserve">У контексті стратегічної екологічної оцінки </w:t>
      </w:r>
      <w:proofErr w:type="spellStart"/>
      <w:r w:rsidRPr="00266C05">
        <w:rPr>
          <w:lang w:val="uk-UA"/>
        </w:rPr>
        <w:t>проєкту</w:t>
      </w:r>
      <w:proofErr w:type="spellEnd"/>
      <w:r w:rsidRPr="00266C05">
        <w:rPr>
          <w:lang w:val="uk-UA"/>
        </w:rPr>
        <w:t xml:space="preserve"> </w:t>
      </w:r>
      <w:r>
        <w:rPr>
          <w:lang w:val="uk-UA"/>
        </w:rPr>
        <w:t xml:space="preserve">Програми </w:t>
      </w:r>
      <w:r w:rsidRPr="00266C05">
        <w:rPr>
          <w:lang w:val="uk-UA"/>
        </w:rPr>
        <w:t>з метою розгляду виправданих альтернатив та їх екологічни</w:t>
      </w:r>
      <w:r>
        <w:rPr>
          <w:lang w:val="uk-UA"/>
        </w:rPr>
        <w:t>х наслідків розглянуто «Н</w:t>
      </w:r>
      <w:r w:rsidRPr="00266C05">
        <w:rPr>
          <w:lang w:val="uk-UA"/>
        </w:rPr>
        <w:t>ульов</w:t>
      </w:r>
      <w:r>
        <w:rPr>
          <w:lang w:val="uk-UA"/>
        </w:rPr>
        <w:t>у альтернативу</w:t>
      </w:r>
      <w:r w:rsidRPr="00266C05">
        <w:rPr>
          <w:lang w:val="uk-UA"/>
        </w:rPr>
        <w:t xml:space="preserve">», тобто опис, прогнозування та оцінка ситуації у випадку незатвердження або </w:t>
      </w:r>
      <w:proofErr w:type="spellStart"/>
      <w:r w:rsidRPr="00266C05">
        <w:rPr>
          <w:lang w:val="uk-UA"/>
        </w:rPr>
        <w:t>нереалізації</w:t>
      </w:r>
      <w:proofErr w:type="spellEnd"/>
      <w:r w:rsidRPr="00266C05">
        <w:rPr>
          <w:lang w:val="uk-UA"/>
        </w:rPr>
        <w:t xml:space="preserve"> </w:t>
      </w:r>
      <w:r>
        <w:rPr>
          <w:lang w:val="uk-UA"/>
        </w:rPr>
        <w:t>Програми та «Територіальну альтернативу»</w:t>
      </w:r>
      <w:r w:rsidRPr="00266C05">
        <w:rPr>
          <w:lang w:val="uk-UA"/>
        </w:rPr>
        <w:t xml:space="preserve">. </w:t>
      </w:r>
    </w:p>
    <w:p w:rsidR="00014F4E" w:rsidRDefault="00826E09" w:rsidP="00014F4E">
      <w:pPr>
        <w:tabs>
          <w:tab w:val="left" w:pos="8787"/>
        </w:tabs>
        <w:ind w:firstLine="567"/>
        <w:jc w:val="both"/>
        <w:rPr>
          <w:lang w:val="uk-UA"/>
        </w:rPr>
      </w:pPr>
      <w:r w:rsidRPr="00F0231A">
        <w:rPr>
          <w:lang w:val="uk-UA"/>
        </w:rPr>
        <w:t xml:space="preserve">Враховуючи результати аналізу основних тенденцій </w:t>
      </w:r>
      <w:r>
        <w:rPr>
          <w:lang w:val="uk-UA"/>
        </w:rPr>
        <w:t xml:space="preserve">економічного і соціального </w:t>
      </w:r>
      <w:r w:rsidRPr="00F0231A">
        <w:rPr>
          <w:lang w:val="uk-UA"/>
        </w:rPr>
        <w:t>розвитку</w:t>
      </w:r>
      <w:r>
        <w:rPr>
          <w:lang w:val="uk-UA"/>
        </w:rPr>
        <w:t xml:space="preserve"> громади</w:t>
      </w:r>
      <w:r w:rsidRPr="00F0231A">
        <w:rPr>
          <w:lang w:val="uk-UA"/>
        </w:rPr>
        <w:t>, припущення щодо впливу зовнішніх і внутрішніх чинників, прийнято рішення обрати саме цей документ державного планування у тому вигляді, у якому він запропонований до затвердження.</w:t>
      </w:r>
    </w:p>
    <w:p w:rsidR="00014F4E" w:rsidRDefault="00014F4E" w:rsidP="00014F4E">
      <w:pPr>
        <w:tabs>
          <w:tab w:val="left" w:pos="8787"/>
        </w:tabs>
        <w:ind w:firstLine="567"/>
        <w:jc w:val="both"/>
        <w:rPr>
          <w:lang w:val="uk-UA"/>
        </w:rPr>
      </w:pPr>
    </w:p>
    <w:p w:rsidR="00014F4E" w:rsidRDefault="00014F4E" w:rsidP="00014F4E">
      <w:pPr>
        <w:tabs>
          <w:tab w:val="left" w:pos="8787"/>
        </w:tabs>
        <w:ind w:firstLine="567"/>
        <w:jc w:val="both"/>
        <w:rPr>
          <w:lang w:val="uk-UA"/>
        </w:rPr>
      </w:pPr>
    </w:p>
    <w:p w:rsidR="00014F4E" w:rsidRDefault="00014F4E" w:rsidP="00014F4E">
      <w:pPr>
        <w:tabs>
          <w:tab w:val="left" w:pos="8787"/>
        </w:tabs>
        <w:ind w:firstLine="567"/>
        <w:jc w:val="both"/>
        <w:rPr>
          <w:lang w:val="uk-UA"/>
        </w:rPr>
      </w:pPr>
    </w:p>
    <w:p w:rsidR="00014F4E" w:rsidRDefault="00014F4E" w:rsidP="00014F4E">
      <w:pPr>
        <w:tabs>
          <w:tab w:val="left" w:pos="8787"/>
        </w:tabs>
        <w:ind w:firstLine="567"/>
        <w:jc w:val="both"/>
        <w:rPr>
          <w:lang w:val="uk-UA"/>
        </w:rPr>
      </w:pPr>
    </w:p>
    <w:p w:rsidR="005E2333" w:rsidRDefault="008A08E5" w:rsidP="00014F4E">
      <w:pPr>
        <w:tabs>
          <w:tab w:val="left" w:pos="8787"/>
        </w:tabs>
        <w:jc w:val="both"/>
        <w:rPr>
          <w:lang w:val="uk-UA"/>
        </w:rPr>
      </w:pPr>
      <w:r>
        <w:rPr>
          <w:lang w:val="uk-UA"/>
        </w:rPr>
        <w:t xml:space="preserve">Начальник управління економіки                              </w:t>
      </w:r>
      <w:r w:rsidR="00A0333B">
        <w:rPr>
          <w:lang w:val="uk-UA"/>
        </w:rPr>
        <w:t xml:space="preserve">             </w:t>
      </w:r>
      <w:r>
        <w:rPr>
          <w:lang w:val="uk-UA"/>
        </w:rPr>
        <w:t xml:space="preserve">                      О. НОВОДОН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sectPr w:rsidR="005E2333" w:rsidSect="00014F4E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03BDE"/>
    <w:multiLevelType w:val="hybridMultilevel"/>
    <w:tmpl w:val="F8D246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05024"/>
    <w:multiLevelType w:val="hybridMultilevel"/>
    <w:tmpl w:val="08D65232"/>
    <w:lvl w:ilvl="0" w:tplc="70C231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CC01F11"/>
    <w:multiLevelType w:val="hybridMultilevel"/>
    <w:tmpl w:val="D9B21F20"/>
    <w:lvl w:ilvl="0" w:tplc="7DCA38E4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EF60507"/>
    <w:multiLevelType w:val="hybridMultilevel"/>
    <w:tmpl w:val="AD6EEF4C"/>
    <w:lvl w:ilvl="0" w:tplc="ABBA7E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292051A"/>
    <w:multiLevelType w:val="hybridMultilevel"/>
    <w:tmpl w:val="3D541E98"/>
    <w:lvl w:ilvl="0" w:tplc="CE6C92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6A71660"/>
    <w:multiLevelType w:val="hybridMultilevel"/>
    <w:tmpl w:val="023E6BE0"/>
    <w:lvl w:ilvl="0" w:tplc="B6E6206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15CBA"/>
    <w:multiLevelType w:val="hybridMultilevel"/>
    <w:tmpl w:val="13447BBE"/>
    <w:lvl w:ilvl="0" w:tplc="DDB2B2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FE75C03"/>
    <w:multiLevelType w:val="hybridMultilevel"/>
    <w:tmpl w:val="32B24D38"/>
    <w:lvl w:ilvl="0" w:tplc="5AA033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04F7840"/>
    <w:multiLevelType w:val="hybridMultilevel"/>
    <w:tmpl w:val="44967974"/>
    <w:lvl w:ilvl="0" w:tplc="B26C50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67BD8"/>
    <w:multiLevelType w:val="hybridMultilevel"/>
    <w:tmpl w:val="F8D246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CD29D5"/>
    <w:multiLevelType w:val="hybridMultilevel"/>
    <w:tmpl w:val="8B5E219A"/>
    <w:lvl w:ilvl="0" w:tplc="BA1EA8DC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826620E"/>
    <w:multiLevelType w:val="hybridMultilevel"/>
    <w:tmpl w:val="054EDA94"/>
    <w:lvl w:ilvl="0" w:tplc="3D44A8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E1511"/>
    <w:multiLevelType w:val="hybridMultilevel"/>
    <w:tmpl w:val="82C07D0C"/>
    <w:lvl w:ilvl="0" w:tplc="0422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147DD"/>
    <w:multiLevelType w:val="hybridMultilevel"/>
    <w:tmpl w:val="F4B43C12"/>
    <w:lvl w:ilvl="0" w:tplc="184C809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9"/>
  </w:num>
  <w:num w:numId="10">
    <w:abstractNumId w:val="0"/>
  </w:num>
  <w:num w:numId="11">
    <w:abstractNumId w:val="5"/>
  </w:num>
  <w:num w:numId="12">
    <w:abstractNumId w:val="12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FF7"/>
    <w:rsid w:val="000000DF"/>
    <w:rsid w:val="000131E1"/>
    <w:rsid w:val="00014F4E"/>
    <w:rsid w:val="00023EA4"/>
    <w:rsid w:val="00025904"/>
    <w:rsid w:val="00035486"/>
    <w:rsid w:val="0003774D"/>
    <w:rsid w:val="00037C8D"/>
    <w:rsid w:val="00060964"/>
    <w:rsid w:val="00081911"/>
    <w:rsid w:val="00086EB5"/>
    <w:rsid w:val="00091653"/>
    <w:rsid w:val="00097AF5"/>
    <w:rsid w:val="000A1126"/>
    <w:rsid w:val="000A2EE5"/>
    <w:rsid w:val="000A445C"/>
    <w:rsid w:val="000B5D1D"/>
    <w:rsid w:val="000C77DF"/>
    <w:rsid w:val="000E2E2E"/>
    <w:rsid w:val="000E5B9C"/>
    <w:rsid w:val="000E640E"/>
    <w:rsid w:val="000E699F"/>
    <w:rsid w:val="000F064F"/>
    <w:rsid w:val="000F37B8"/>
    <w:rsid w:val="00101A03"/>
    <w:rsid w:val="00105F6A"/>
    <w:rsid w:val="001174C8"/>
    <w:rsid w:val="00127041"/>
    <w:rsid w:val="00136B2C"/>
    <w:rsid w:val="00140F77"/>
    <w:rsid w:val="00145C43"/>
    <w:rsid w:val="001556B1"/>
    <w:rsid w:val="0017131E"/>
    <w:rsid w:val="001841B8"/>
    <w:rsid w:val="001932A9"/>
    <w:rsid w:val="001B2601"/>
    <w:rsid w:val="001B4837"/>
    <w:rsid w:val="001C7963"/>
    <w:rsid w:val="001E0132"/>
    <w:rsid w:val="001E069B"/>
    <w:rsid w:val="001E0C0A"/>
    <w:rsid w:val="001E3052"/>
    <w:rsid w:val="001F1717"/>
    <w:rsid w:val="001F6A24"/>
    <w:rsid w:val="001F73A3"/>
    <w:rsid w:val="001F7566"/>
    <w:rsid w:val="002623B9"/>
    <w:rsid w:val="0026252B"/>
    <w:rsid w:val="00265999"/>
    <w:rsid w:val="002723CB"/>
    <w:rsid w:val="002805F6"/>
    <w:rsid w:val="00282817"/>
    <w:rsid w:val="00285B47"/>
    <w:rsid w:val="002905E5"/>
    <w:rsid w:val="002A0BBD"/>
    <w:rsid w:val="002B6527"/>
    <w:rsid w:val="002C522E"/>
    <w:rsid w:val="002D40E4"/>
    <w:rsid w:val="0030442F"/>
    <w:rsid w:val="00310E31"/>
    <w:rsid w:val="00320F84"/>
    <w:rsid w:val="00330DB0"/>
    <w:rsid w:val="00345542"/>
    <w:rsid w:val="00357E16"/>
    <w:rsid w:val="00376C36"/>
    <w:rsid w:val="00380EBF"/>
    <w:rsid w:val="00382591"/>
    <w:rsid w:val="00386645"/>
    <w:rsid w:val="00386AED"/>
    <w:rsid w:val="003968D2"/>
    <w:rsid w:val="003A18D5"/>
    <w:rsid w:val="003A4EE9"/>
    <w:rsid w:val="003B0B6E"/>
    <w:rsid w:val="003B630E"/>
    <w:rsid w:val="003B6F8F"/>
    <w:rsid w:val="003B7F3C"/>
    <w:rsid w:val="003E7042"/>
    <w:rsid w:val="00400491"/>
    <w:rsid w:val="0040086A"/>
    <w:rsid w:val="004048DC"/>
    <w:rsid w:val="004148C8"/>
    <w:rsid w:val="0041604C"/>
    <w:rsid w:val="0042416E"/>
    <w:rsid w:val="00436891"/>
    <w:rsid w:val="00445E30"/>
    <w:rsid w:val="00445F25"/>
    <w:rsid w:val="00451E13"/>
    <w:rsid w:val="004605D2"/>
    <w:rsid w:val="004941E0"/>
    <w:rsid w:val="004A40E7"/>
    <w:rsid w:val="004C0883"/>
    <w:rsid w:val="004C680C"/>
    <w:rsid w:val="004D2C1F"/>
    <w:rsid w:val="004D37BB"/>
    <w:rsid w:val="004E7AE9"/>
    <w:rsid w:val="004F6BCF"/>
    <w:rsid w:val="004F7C45"/>
    <w:rsid w:val="00543523"/>
    <w:rsid w:val="005721A3"/>
    <w:rsid w:val="00581FCE"/>
    <w:rsid w:val="005875FE"/>
    <w:rsid w:val="005A7EF8"/>
    <w:rsid w:val="005B2D06"/>
    <w:rsid w:val="005C40DC"/>
    <w:rsid w:val="005D210E"/>
    <w:rsid w:val="005D2F5D"/>
    <w:rsid w:val="005D7F45"/>
    <w:rsid w:val="005E2333"/>
    <w:rsid w:val="005E565C"/>
    <w:rsid w:val="005E6323"/>
    <w:rsid w:val="005F42BA"/>
    <w:rsid w:val="0060695B"/>
    <w:rsid w:val="00623469"/>
    <w:rsid w:val="006416AD"/>
    <w:rsid w:val="0064344D"/>
    <w:rsid w:val="00645BAE"/>
    <w:rsid w:val="0066702A"/>
    <w:rsid w:val="00675C66"/>
    <w:rsid w:val="00690E13"/>
    <w:rsid w:val="006970FC"/>
    <w:rsid w:val="006B5120"/>
    <w:rsid w:val="006C74FB"/>
    <w:rsid w:val="00702305"/>
    <w:rsid w:val="007102E6"/>
    <w:rsid w:val="00711FA3"/>
    <w:rsid w:val="00713EDF"/>
    <w:rsid w:val="00715731"/>
    <w:rsid w:val="007169A5"/>
    <w:rsid w:val="00731F18"/>
    <w:rsid w:val="00744955"/>
    <w:rsid w:val="00760EA2"/>
    <w:rsid w:val="007845A0"/>
    <w:rsid w:val="007A3077"/>
    <w:rsid w:val="007A4691"/>
    <w:rsid w:val="007C0727"/>
    <w:rsid w:val="007D4799"/>
    <w:rsid w:val="007F2FF7"/>
    <w:rsid w:val="00813361"/>
    <w:rsid w:val="00826E09"/>
    <w:rsid w:val="0082713C"/>
    <w:rsid w:val="008462E2"/>
    <w:rsid w:val="0086046D"/>
    <w:rsid w:val="008874F0"/>
    <w:rsid w:val="008A08E5"/>
    <w:rsid w:val="008B2380"/>
    <w:rsid w:val="008B67CC"/>
    <w:rsid w:val="008B7E2E"/>
    <w:rsid w:val="008C7E4D"/>
    <w:rsid w:val="008E5E5D"/>
    <w:rsid w:val="008E7AD9"/>
    <w:rsid w:val="009220AE"/>
    <w:rsid w:val="0092661A"/>
    <w:rsid w:val="00937850"/>
    <w:rsid w:val="0095293D"/>
    <w:rsid w:val="0097788F"/>
    <w:rsid w:val="00995022"/>
    <w:rsid w:val="009A78B4"/>
    <w:rsid w:val="009C0321"/>
    <w:rsid w:val="009E5417"/>
    <w:rsid w:val="009E580E"/>
    <w:rsid w:val="009F1743"/>
    <w:rsid w:val="009F1FCA"/>
    <w:rsid w:val="00A0239C"/>
    <w:rsid w:val="00A0288F"/>
    <w:rsid w:val="00A0333B"/>
    <w:rsid w:val="00A04384"/>
    <w:rsid w:val="00A16023"/>
    <w:rsid w:val="00A217EB"/>
    <w:rsid w:val="00A2459E"/>
    <w:rsid w:val="00A439A1"/>
    <w:rsid w:val="00A541AF"/>
    <w:rsid w:val="00A57E17"/>
    <w:rsid w:val="00A77E7D"/>
    <w:rsid w:val="00A84331"/>
    <w:rsid w:val="00AA051E"/>
    <w:rsid w:val="00AA10BB"/>
    <w:rsid w:val="00AB1BF9"/>
    <w:rsid w:val="00AB6559"/>
    <w:rsid w:val="00AC2656"/>
    <w:rsid w:val="00AC5563"/>
    <w:rsid w:val="00AE04A3"/>
    <w:rsid w:val="00AE6024"/>
    <w:rsid w:val="00AF3567"/>
    <w:rsid w:val="00B04600"/>
    <w:rsid w:val="00B21482"/>
    <w:rsid w:val="00B44B50"/>
    <w:rsid w:val="00B6100E"/>
    <w:rsid w:val="00B611FB"/>
    <w:rsid w:val="00B62733"/>
    <w:rsid w:val="00B656ED"/>
    <w:rsid w:val="00B72B47"/>
    <w:rsid w:val="00B757BB"/>
    <w:rsid w:val="00B85F9A"/>
    <w:rsid w:val="00B9309D"/>
    <w:rsid w:val="00B96BFC"/>
    <w:rsid w:val="00BA2AB5"/>
    <w:rsid w:val="00BA6190"/>
    <w:rsid w:val="00BB2E7E"/>
    <w:rsid w:val="00BB489F"/>
    <w:rsid w:val="00BE2323"/>
    <w:rsid w:val="00BF14A8"/>
    <w:rsid w:val="00BF1B72"/>
    <w:rsid w:val="00C0575D"/>
    <w:rsid w:val="00C06AF0"/>
    <w:rsid w:val="00C25911"/>
    <w:rsid w:val="00C32736"/>
    <w:rsid w:val="00C61CB7"/>
    <w:rsid w:val="00C66738"/>
    <w:rsid w:val="00C779DE"/>
    <w:rsid w:val="00C804DB"/>
    <w:rsid w:val="00C93840"/>
    <w:rsid w:val="00CB7BA1"/>
    <w:rsid w:val="00CC5755"/>
    <w:rsid w:val="00CD0DA6"/>
    <w:rsid w:val="00CE1210"/>
    <w:rsid w:val="00D311AC"/>
    <w:rsid w:val="00D33248"/>
    <w:rsid w:val="00D4286B"/>
    <w:rsid w:val="00D463E8"/>
    <w:rsid w:val="00D55175"/>
    <w:rsid w:val="00D636AF"/>
    <w:rsid w:val="00D66A10"/>
    <w:rsid w:val="00D913C8"/>
    <w:rsid w:val="00D94544"/>
    <w:rsid w:val="00DB0EB8"/>
    <w:rsid w:val="00DB3218"/>
    <w:rsid w:val="00DD4269"/>
    <w:rsid w:val="00DD7516"/>
    <w:rsid w:val="00E03C80"/>
    <w:rsid w:val="00E05B77"/>
    <w:rsid w:val="00E107E0"/>
    <w:rsid w:val="00E1161A"/>
    <w:rsid w:val="00E26C15"/>
    <w:rsid w:val="00E342D9"/>
    <w:rsid w:val="00E41833"/>
    <w:rsid w:val="00E51F0F"/>
    <w:rsid w:val="00E5795D"/>
    <w:rsid w:val="00E6016C"/>
    <w:rsid w:val="00E650ED"/>
    <w:rsid w:val="00E70B40"/>
    <w:rsid w:val="00E87D47"/>
    <w:rsid w:val="00E970E7"/>
    <w:rsid w:val="00EA259C"/>
    <w:rsid w:val="00EA66FA"/>
    <w:rsid w:val="00EC12AF"/>
    <w:rsid w:val="00EF4B8B"/>
    <w:rsid w:val="00F01816"/>
    <w:rsid w:val="00F07777"/>
    <w:rsid w:val="00F1362D"/>
    <w:rsid w:val="00F14E9E"/>
    <w:rsid w:val="00F17B97"/>
    <w:rsid w:val="00F20FBF"/>
    <w:rsid w:val="00F4372F"/>
    <w:rsid w:val="00F44AAE"/>
    <w:rsid w:val="00F4561C"/>
    <w:rsid w:val="00F50675"/>
    <w:rsid w:val="00F51FA7"/>
    <w:rsid w:val="00F90FAA"/>
    <w:rsid w:val="00FA33BA"/>
    <w:rsid w:val="00FA37DE"/>
    <w:rsid w:val="00FA4564"/>
    <w:rsid w:val="00FE0071"/>
    <w:rsid w:val="00FE4A88"/>
    <w:rsid w:val="00FF6075"/>
    <w:rsid w:val="00FF6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299A99-BE3A-43FD-9064-725C1046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"/>
    <w:qFormat/>
    <w:rsid w:val="004E7AE9"/>
    <w:pPr>
      <w:spacing w:before="100" w:beforeAutospacing="1" w:after="100" w:afterAutospacing="1"/>
      <w:outlineLvl w:val="1"/>
    </w:pPr>
    <w:rPr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rsid w:val="007F2FF7"/>
    <w:pPr>
      <w:jc w:val="center"/>
    </w:pPr>
    <w:rPr>
      <w:b/>
      <w:sz w:val="32"/>
      <w:szCs w:val="20"/>
      <w:lang w:val="uk-UA"/>
    </w:rPr>
  </w:style>
  <w:style w:type="character" w:customStyle="1" w:styleId="22">
    <w:name w:val="Основний текст 2 Знак"/>
    <w:basedOn w:val="a0"/>
    <w:link w:val="21"/>
    <w:semiHidden/>
    <w:rsid w:val="007F2FF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rsid w:val="007F2FF7"/>
    <w:rPr>
      <w:color w:val="0000FF"/>
      <w:u w:val="single"/>
    </w:rPr>
  </w:style>
  <w:style w:type="paragraph" w:styleId="a4">
    <w:name w:val="Balloon Text"/>
    <w:basedOn w:val="a"/>
    <w:link w:val="a5"/>
    <w:unhideWhenUsed/>
    <w:rsid w:val="00D311AC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rsid w:val="00D311AC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List Paragraph"/>
    <w:basedOn w:val="a"/>
    <w:uiPriority w:val="34"/>
    <w:qFormat/>
    <w:rsid w:val="00DD7516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3B630E"/>
    <w:rPr>
      <w:color w:val="954F72" w:themeColor="followedHyperlink"/>
      <w:u w:val="single"/>
    </w:rPr>
  </w:style>
  <w:style w:type="paragraph" w:styleId="a8">
    <w:name w:val="Normal (Web)"/>
    <w:basedOn w:val="a"/>
    <w:uiPriority w:val="99"/>
    <w:unhideWhenUsed/>
    <w:rsid w:val="002A0BBD"/>
    <w:pPr>
      <w:spacing w:before="100" w:beforeAutospacing="1" w:after="100" w:afterAutospacing="1"/>
    </w:pPr>
    <w:rPr>
      <w:rFonts w:eastAsiaTheme="minorEastAsia"/>
      <w:lang w:val="uk-UA" w:eastAsia="uk-UA"/>
    </w:rPr>
  </w:style>
  <w:style w:type="paragraph" w:customStyle="1" w:styleId="Default">
    <w:name w:val="Default"/>
    <w:rsid w:val="00330D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9">
    <w:name w:val="Table Grid"/>
    <w:basedOn w:val="a1"/>
    <w:uiPriority w:val="39"/>
    <w:rsid w:val="00FE4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E7AE9"/>
    <w:rPr>
      <w:rFonts w:ascii="Times New Roman" w:eastAsia="Times New Roman" w:hAnsi="Times New Roman" w:cs="Times New Roman"/>
      <w:b/>
      <w:bCs/>
      <w:sz w:val="36"/>
      <w:szCs w:val="3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20D25-3A8E-453E-8660-E62557C5A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5</Pages>
  <Words>8090</Words>
  <Characters>4612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Єрмакова Тетяна Володимирівна</dc:creator>
  <cp:lastModifiedBy>Казмірчук Оксана Вікторівна</cp:lastModifiedBy>
  <cp:revision>19</cp:revision>
  <cp:lastPrinted>2021-11-30T14:30:00Z</cp:lastPrinted>
  <dcterms:created xsi:type="dcterms:W3CDTF">2021-11-29T09:26:00Z</dcterms:created>
  <dcterms:modified xsi:type="dcterms:W3CDTF">2021-11-30T14:41:00Z</dcterms:modified>
</cp:coreProperties>
</file>