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9824" w14:textId="77777777" w:rsidR="00EB2247" w:rsidRPr="00EB2247" w:rsidRDefault="00EB2247" w:rsidP="00EB2247">
      <w:pPr>
        <w:widowControl w:val="0"/>
        <w:spacing w:after="120"/>
        <w:jc w:val="center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4"/>
          <w:szCs w:val="24"/>
          <w:lang w:val="uk-UA" w:eastAsia="uk-UA" w:bidi="uk-UA"/>
          <w14:ligatures w14:val="none"/>
        </w:rPr>
      </w:pPr>
      <w:bookmarkStart w:id="0" w:name="_GoBack"/>
      <w:bookmarkEnd w:id="0"/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4"/>
          <w:szCs w:val="24"/>
          <w:lang w:val="uk-UA" w:eastAsia="uk-UA" w:bidi="uk-UA"/>
          <w14:ligatures w14:val="none"/>
        </w:rPr>
        <w:t>Звіт про управління</w:t>
      </w:r>
    </w:p>
    <w:p w14:paraId="2DDD665C" w14:textId="77777777" w:rsidR="00EB2247" w:rsidRPr="00EB2247" w:rsidRDefault="00EB2247" w:rsidP="00EB2247">
      <w:pPr>
        <w:widowControl w:val="0"/>
        <w:spacing w:after="120"/>
        <w:jc w:val="center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4"/>
          <w:szCs w:val="24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4"/>
          <w:szCs w:val="24"/>
          <w:lang w:val="uk-UA" w:eastAsia="uk-UA" w:bidi="uk-UA"/>
          <w14:ligatures w14:val="none"/>
        </w:rPr>
        <w:t>ХКП "</w:t>
      </w:r>
      <w:proofErr w:type="spellStart"/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4"/>
          <w:szCs w:val="24"/>
          <w:lang w:val="uk-UA" w:eastAsia="uk-UA" w:bidi="uk-UA"/>
          <w14:ligatures w14:val="none"/>
        </w:rPr>
        <w:t>Електротранс</w:t>
      </w:r>
      <w:proofErr w:type="spellEnd"/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4"/>
          <w:szCs w:val="24"/>
          <w:lang w:val="uk-UA" w:eastAsia="uk-UA" w:bidi="uk-UA"/>
          <w14:ligatures w14:val="none"/>
        </w:rPr>
        <w:t>" за 2022 рік</w:t>
      </w:r>
    </w:p>
    <w:p w14:paraId="21ACA3A0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</w:p>
    <w:p w14:paraId="770E008C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 xml:space="preserve"> Діяльність підприємства</w:t>
      </w:r>
    </w:p>
    <w:p w14:paraId="6F37E960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У звітному періоді підприємство здійснювало пасажирські перевезення: на 26-ти тролейбусних та на 7-ми автобусних маршрутах.</w:t>
      </w:r>
    </w:p>
    <w:p w14:paraId="4F010514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В робочі дні на міських маршрутах були задіяні:</w:t>
      </w:r>
    </w:p>
    <w:p w14:paraId="752CBE2F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- від 72 до 80 тролейбусів;</w:t>
      </w:r>
    </w:p>
    <w:p w14:paraId="5088FCD2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- 5 – 7 автобусів.</w:t>
      </w:r>
    </w:p>
    <w:p w14:paraId="3257E5EC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Коефіцієнт технічної готовності тролейбусів становив 86% або 100 одиниць.</w:t>
      </w:r>
    </w:p>
    <w:p w14:paraId="711C5C35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Незважаючи на обмеження тролейбусного руху, пов’язані з аварійними відключеннями енергопостачання, та мобілізацію  працівників в лави ЗСУ, підприємству вдалось забезпечити стабільний виробничий процес, зберегти колектив і вперше за останні 7 років завершити рік без збитків.</w:t>
      </w:r>
    </w:p>
    <w:p w14:paraId="680A5669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За рахунок поповнення рухомого складу автобусів та відкриття 5-ти маршрутів, випуск автобусів на лінію у другій половині року був збільшений до 20 одиниць.</w:t>
      </w:r>
    </w:p>
    <w:p w14:paraId="6FA1EF68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Коефіцієнт технічної готовності тролейбусного парку становив 74% або 79 справних одиниць.</w:t>
      </w:r>
    </w:p>
    <w:p w14:paraId="326A4CE3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За звітний 2022 рік фінансово-господарська діяльність підприємства характеризується такими показниками:</w:t>
      </w:r>
    </w:p>
    <w:p w14:paraId="33146DB8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</w:p>
    <w:p w14:paraId="31C1E9BC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>Виконання фінансового плану</w:t>
      </w:r>
    </w:p>
    <w:p w14:paraId="7730AC7B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Фінансовий план по </w:t>
      </w:r>
      <w:bookmarkStart w:id="1" w:name="_Hlk142571737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дохідній частині </w:t>
      </w:r>
      <w:bookmarkEnd w:id="1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перевиконано на 7,9млн.грн або на 3,9%. Одночасно не виконано план по дохідній частині від основної діяльності на 4млн.грн, а понадпланові доходи від іншої операційної діяльності складають 5,4млн.грн.</w:t>
      </w:r>
    </w:p>
    <w:p w14:paraId="2155ED10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Причина не виконання плану по дохідній частині від перевезень пасажирів міським транспортом не залежала від діяльності підприємства.</w:t>
      </w:r>
    </w:p>
    <w:p w14:paraId="78743462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Загальні витрати підприємства за звітний період складають 208,2млн.грн, що на 4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млн.грн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 або на 2% більше ніж передбачалось фінансовим планом. При цьому собівартість послуг з перевезення пасажирів транспортом становить на 25,8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млн.грн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 менше, собівартості, яка передбачалась  фінансовим планом.</w:t>
      </w:r>
    </w:p>
    <w:p w14:paraId="1D0A8EF0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Фінансовий результат діяльності підприємства за звітний період є позитивним. Отримано чистий прибуток в сумі 3,8млн.грн при плані 7,3тис.грн. Частина чистого прибутку в розмірі 387тис.грн перерахована до загального фонду бюджету Хмельницької міської територіальної громади.</w:t>
      </w:r>
    </w:p>
    <w:p w14:paraId="391A4011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</w:p>
    <w:p w14:paraId="3F188C77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 xml:space="preserve"> Показники фінансової діяльності</w:t>
      </w:r>
    </w:p>
    <w:p w14:paraId="2BD1853A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Загальні чисті доходи підприємства за 2022 рік складають 212,1млн.грн, що на 47,2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млн.грн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 або на 28,6% більше доходів 2021 року. Основним джерелом зростання доходів стало цільове фінансування компенсаційних виплат, пов’язаних з наданням послуг з перевезення пасажирів міським транспортом загального користування з бюджету Хмельницької територіальної громади. У порівнянні з минулим роком таке фінансування зросло на 24,1млн.грн та становило 147,4млн.грн.</w:t>
      </w:r>
    </w:p>
    <w:p w14:paraId="1FF0CD4D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lastRenderedPageBreak/>
        <w:t xml:space="preserve">Крім того, власна виручка за перевезення платних пасажирів міським транспортом зросла на 10,8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млн.грн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 або на 39% та становить 38,5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млн.грн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, у тому числі:</w:t>
      </w:r>
    </w:p>
    <w:p w14:paraId="7400C488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виручка від перевезень тролейбусами зросла на 7,6 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млн.грн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 або на 28,7%, а </w:t>
      </w:r>
    </w:p>
    <w:p w14:paraId="5C809322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виручка від перевезень автобусами зросла на 3,3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млн.грн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 або на 271,1%.</w:t>
      </w:r>
    </w:p>
    <w:p w14:paraId="4B9977C3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Витрати підприємства також мали тенденцію до зростання. За 2022 рік загальні витрати зросли, у порівнянні з 2021 роком, на 26,3млн.грн або на 14,5% та складають 208,2 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млн.грн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.</w:t>
      </w:r>
    </w:p>
    <w:p w14:paraId="599449B5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Збільшення витрат у порівнянні з 2021 роком обумовлено зростанням собівартості послуг з перевезення пасажирів міським транспортом на 7,4млн.грн,  та зростанням інших операційних витрат на 5,1млн.грн, адміністративних витрат - на 3,3млн.грн.</w:t>
      </w:r>
    </w:p>
    <w:p w14:paraId="28DC84BD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/>
          <w:color w:val="000000"/>
          <w:kern w:val="0"/>
          <w:sz w:val="22"/>
          <w:lang w:val="uk-UA" w:eastAsia="uk-UA" w:bidi="uk-UA"/>
          <w14:ligatures w14:val="none"/>
        </w:rPr>
        <w:t>Основні причини зростання собівартості перевезень</w:t>
      </w: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:</w:t>
      </w:r>
    </w:p>
    <w:p w14:paraId="2EDD144A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- зростання вартості спожитої електроенергії на тролейбусний рух (так, якщо на початок 2021 року вартість електроенергії складала 2,02грн за 1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Квт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*год, то станом на грудень 2022 року вартість становила 4,67 грн), що призвело до зростання витрат на 2,9млн.грн:</w:t>
      </w:r>
    </w:p>
    <w:p w14:paraId="72601540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- зростання вартості шин в середньому на 92% (так, ціна ходової шини на тролейбус у 2021 році становила 6325грн, а у 2022 році її вартість сягнула 12204грн);</w:t>
      </w:r>
    </w:p>
    <w:p w14:paraId="6B1C2532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- зростання вартості запасних частин та інших послуг.</w:t>
      </w:r>
    </w:p>
    <w:p w14:paraId="31CBCD33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Протягом 2022 року зростала заробітна плата працівників. Таке зростання пов’язане  з приведенням заробітної плати до соціальних нормативів, передбачених Галузевою угодою та Колективним договором ХКП «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Електротранс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». Основне збільшення зарплати торкнулось робітників депо та обслуговуючого персоналу, крім того збільшився фонд оплати праці за рахунок збільшення чисельності водіїв автобусів.</w:t>
      </w:r>
    </w:p>
    <w:p w14:paraId="728BF5DD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Таке зростання у складі собівартості становило 4,9млн.грн.</w:t>
      </w:r>
    </w:p>
    <w:p w14:paraId="7E642567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Втім, випереджальне зростання доходів над витратами, у порівнянні з 2021 роком, становило 14,1%.</w:t>
      </w:r>
    </w:p>
    <w:p w14:paraId="62FBE603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</w:p>
    <w:p w14:paraId="74B3FC32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 </w:t>
      </w: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>Дебіторська заборгованість</w:t>
      </w:r>
    </w:p>
    <w:p w14:paraId="37DEF4B7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Загальний приріст дебіторської заборгованості, у порівнянні з 2021 роком, становить 82тис.грн або 29,1%.</w:t>
      </w:r>
    </w:p>
    <w:p w14:paraId="7F5ECF57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Зростання дебіторської заборгованості відбулось за рахунок збільшення виручки від оплати проїзду, яка надходить в наступний день та збільшення заборгованості фонду соціального страхування по несплачених лікарняних.</w:t>
      </w:r>
    </w:p>
    <w:p w14:paraId="73454C04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Вся дебіторська заборгованість є поточною та погашена в січні 2023 року.</w:t>
      </w:r>
    </w:p>
    <w:p w14:paraId="448228C5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Питома вага дебіторської заборгованості в оборотних активах підприємства складає лише 2%.</w:t>
      </w:r>
    </w:p>
    <w:p w14:paraId="5062D605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</w:p>
    <w:p w14:paraId="7AB97074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>Кредиторська заборгованість</w:t>
      </w:r>
    </w:p>
    <w:p w14:paraId="371C0EE6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На фінансовий стан підприємства, що характеризувався, як важкий, на початку 2022 року впливав стан кредиторської заборгованості.</w:t>
      </w:r>
    </w:p>
    <w:p w14:paraId="4A7451AA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Загальна заборгованість підприємства на початок звітного періоду складала 33,9млн.грн.</w:t>
      </w:r>
    </w:p>
    <w:p w14:paraId="6B6DC4DE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Заборгованість перед постачальниками товарів і послуг на початок звітного року складала 16,5млн.грн або 67% від загальної кредиторської заборгованості, а борг за спожиту електроенергію </w:t>
      </w: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lastRenderedPageBreak/>
        <w:t>становив 10,9млн.грн. Прострочення  платежу за електроенергію складало більше 3-х місяців.</w:t>
      </w:r>
    </w:p>
    <w:p w14:paraId="6D2657E1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Коефіцієнт покриття боргових зобов’язань складав 0,32 при критичному значенні 1,0. Баланс підприємства на 01 січня 2022 року був ,практично, не ліквідний.</w:t>
      </w:r>
    </w:p>
    <w:p w14:paraId="73064DD8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Завдяки підняттю тарифів за проїзд в міському транспорті та переходу на розрахунки за виконану транспортну роботу електротранспорту по Типовому договору за 1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тролейбусо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/км та фінансової підтримки міської ради, у звітному періоді підприємство вибралося, з так званої, боргової  ями.</w:t>
      </w:r>
    </w:p>
    <w:p w14:paraId="53E54217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Кредиторська заборгованість на кінець звітного періоду зменшилась на 14,6млн.грн або на 43% і складає 19,3млн.грн.</w:t>
      </w:r>
    </w:p>
    <w:p w14:paraId="1D25587B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Із загальної кредиторської заборгованості на кінець звітного періоду 10,5млн.грн становить борг за надану поворотну допомогу із строком погашення до кінця 2023 року.</w:t>
      </w:r>
    </w:p>
    <w:p w14:paraId="3CC01E48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Станом на 01.01.2023 року коефіцієнт покриття склав 0,81.</w:t>
      </w:r>
    </w:p>
    <w:p w14:paraId="31568174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</w:p>
    <w:p w14:paraId="5EB11C0D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>Обсяг доходів від додаткових робіт і послуг</w:t>
      </w:r>
    </w:p>
    <w:p w14:paraId="4B8E018D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Підприємство, крім основної діяльності надає значний обсяг додаткових послуг, а саме: послуги з нерегулярних перевезень, послуги лабораторії енергогосподарства, розміщення реклами на транспортних засобах та в салонах ТЗ, оренда, навчання на курсах підготовки водіїв тролейбуса.</w:t>
      </w:r>
    </w:p>
    <w:p w14:paraId="21DE6E78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У порівнянні з 2021 роком обсяг таких послуг зріс на 646тис.грн і склав 3,9млн.грн. Питома вага інших послуг в загальних доходах підприємства становить 1,8%.</w:t>
      </w:r>
    </w:p>
    <w:p w14:paraId="6D40A8D0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</w:p>
    <w:p w14:paraId="64992EBE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 xml:space="preserve"> Інвестиції в оновлення виробничих фондів</w:t>
      </w:r>
    </w:p>
    <w:p w14:paraId="63A3208A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У звітному періоді значна сума коштів підприємства та коштів, передбачених бюджетом розвитку міста, була направлена на оновлення рухомого складу пасажирського транспорту.</w:t>
      </w:r>
    </w:p>
    <w:p w14:paraId="04242F18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За рахунок коштів міського бюджету було придбано 9 пасажирських автобусів АТАМАН на загальну суму 23,6млн.грн</w:t>
      </w:r>
    </w:p>
    <w:p w14:paraId="7B2F60D7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За рахунок коштів підприємства було придбано 5 великогабаритних пасажирських автобусів СОЛАРИС на загальну суму 3,9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млн.грн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.</w:t>
      </w:r>
    </w:p>
    <w:p w14:paraId="63A30FFD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Окрім того, завершено відновлювальний (капітальний) ремонт тролейбуса ЗІУ-9 на суму 928тис.грн., який вже курсує на маршрутах міста.</w:t>
      </w:r>
    </w:p>
    <w:p w14:paraId="01A94EBB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В останнє значні інвестиції в підприємство проводились у 2019 році на придбання 10 тролейбусів за договором фінансового лізингу на суму 74,2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млн.грн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.</w:t>
      </w:r>
    </w:p>
    <w:p w14:paraId="573E0C09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 xml:space="preserve"> </w:t>
      </w:r>
    </w:p>
    <w:p w14:paraId="0260A6A4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>Виконання заходів стратегічного плану розвитку</w:t>
      </w:r>
    </w:p>
    <w:p w14:paraId="50E599B3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Стратегічним планом розвитку підприємства на 2022 рік було встановлено 9 основних стратегічних цілей, з яких було повністю досягнуто 6 цілей, передбачених планом. Придбання та улаштування зупинок громадського транспорту (15 один.) – не було реалізовано у зв’язку з воєнним станом в Україні та обмеженням фінансування по 590 постанові). </w:t>
      </w:r>
    </w:p>
    <w:p w14:paraId="134643BF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Частково виконані заходи з навчання водіїв тролейбусів (лише 1 група – 18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чол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.). В бюджеті на 2023 рік Обласного центру зайнятості передбачені кошти на навчання водіїв тролейбусів. Групу формуємо в квітні 2023 року.</w:t>
      </w:r>
    </w:p>
    <w:p w14:paraId="09A1A718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Для покращення естетичного вигляду робітників отримано гуманітарну допомогу, також  </w:t>
      </w: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lastRenderedPageBreak/>
        <w:t xml:space="preserve">забезпечено рукавицями, спецодягом ремонтну бригаду </w:t>
      </w:r>
      <w:proofErr w:type="spellStart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енергослужби</w:t>
      </w:r>
      <w:proofErr w:type="spellEnd"/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. В 2023 році буде проведено тендер на придбання форменого одягу для водіїв тролейбусів.</w:t>
      </w:r>
    </w:p>
    <w:p w14:paraId="555143C0" w14:textId="77777777" w:rsid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</w:p>
    <w:p w14:paraId="36299D6A" w14:textId="6F4215F5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>Енергозберігаючі заходи</w:t>
      </w:r>
    </w:p>
    <w:p w14:paraId="7588C678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У звітному періоді підприємство зменшило використання енергоносіїв у натуральних показниках. </w:t>
      </w:r>
    </w:p>
    <w:p w14:paraId="1B32D711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Споживання електроенергії зменшилось у порівнянні з минулим роком на 1млн.752тис.кВт*год, грошові витрати за спожиту електроенергію зменшились на 3 635тис.грн.</w:t>
      </w:r>
    </w:p>
    <w:p w14:paraId="08716931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Для автобусів збільшилось споживання дизельного палива у зв’язку зі збільшенням випуску на маршрути.</w:t>
      </w:r>
    </w:p>
    <w:p w14:paraId="01DD3141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 xml:space="preserve"> </w:t>
      </w: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>План дій підприємства на 2023 рік</w:t>
      </w:r>
    </w:p>
    <w:p w14:paraId="1DB743C9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  <w:t>В поточному році основні зусилля підприємства спрямовані на впровадження Проекту модернізації громадського транспорту у м. Хмельницькому із залученням коштів ЄБРР.</w:t>
      </w:r>
    </w:p>
    <w:p w14:paraId="1AB04034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2"/>
          <w:lang w:val="uk-UA" w:eastAsia="uk-UA" w:bidi="uk-UA"/>
          <w14:ligatures w14:val="none"/>
        </w:rPr>
      </w:pPr>
    </w:p>
    <w:p w14:paraId="769BCE9F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</w:p>
    <w:p w14:paraId="5252B1C1" w14:textId="77777777" w:rsidR="00EB2247" w:rsidRPr="00EB2247" w:rsidRDefault="00EB2247" w:rsidP="00EB2247">
      <w:pPr>
        <w:widowControl w:val="0"/>
        <w:spacing w:after="0" w:line="360" w:lineRule="auto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>Директор</w:t>
      </w: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ab/>
      </w: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ab/>
      </w: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ab/>
      </w: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ab/>
        <w:t xml:space="preserve">                                                                      Сергій БОБУХ</w:t>
      </w:r>
    </w:p>
    <w:p w14:paraId="497A2D07" w14:textId="77777777" w:rsidR="00EB2247" w:rsidRPr="00EB2247" w:rsidRDefault="00EB2247" w:rsidP="00EB2247">
      <w:pPr>
        <w:widowControl w:val="0"/>
        <w:spacing w:after="0" w:line="360" w:lineRule="auto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ab/>
      </w:r>
    </w:p>
    <w:p w14:paraId="6F1E3F4E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</w:pP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>Головний бухгалтер</w:t>
      </w: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ab/>
      </w: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ab/>
      </w: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ab/>
      </w: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ab/>
        <w:t xml:space="preserve">                                       </w:t>
      </w:r>
      <w:r w:rsidRPr="00EB2247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2"/>
          <w:lang w:val="uk-UA" w:eastAsia="uk-UA" w:bidi="uk-UA"/>
          <w14:ligatures w14:val="none"/>
        </w:rPr>
        <w:tab/>
        <w:t>Катерина ПРИСТАВЧУК</w:t>
      </w:r>
    </w:p>
    <w:p w14:paraId="766F8466" w14:textId="77777777" w:rsidR="00EB2247" w:rsidRPr="00EB2247" w:rsidRDefault="00EB2247" w:rsidP="00EB2247">
      <w:pPr>
        <w:widowControl w:val="0"/>
        <w:spacing w:after="120"/>
        <w:jc w:val="both"/>
        <w:rPr>
          <w:rFonts w:ascii="Calibri Light" w:eastAsia="Microsoft Sans Serif" w:hAnsi="Calibri Light" w:cs="Calibri Light"/>
          <w:color w:val="000000"/>
          <w:kern w:val="0"/>
          <w:sz w:val="22"/>
          <w:lang w:val="uk-UA" w:eastAsia="uk-UA" w:bidi="uk-UA"/>
          <w14:ligatures w14:val="none"/>
        </w:rPr>
      </w:pPr>
    </w:p>
    <w:p w14:paraId="058DF4EA" w14:textId="77777777" w:rsidR="00F12C76" w:rsidRPr="00EB2247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EB2247" w:rsidSect="00545D2C">
      <w:headerReference w:type="default" r:id="rId7"/>
      <w:pgSz w:w="11907" w:h="16840" w:code="9"/>
      <w:pgMar w:top="1134" w:right="851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33BB" w14:textId="77777777" w:rsidR="00EF36E0" w:rsidRDefault="00EF36E0" w:rsidP="00EB2247">
      <w:pPr>
        <w:spacing w:after="0"/>
      </w:pPr>
      <w:r>
        <w:separator/>
      </w:r>
    </w:p>
  </w:endnote>
  <w:endnote w:type="continuationSeparator" w:id="0">
    <w:p w14:paraId="623BBE5A" w14:textId="77777777" w:rsidR="00EF36E0" w:rsidRDefault="00EF36E0" w:rsidP="00EB22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A0DF" w14:textId="77777777" w:rsidR="00EF36E0" w:rsidRDefault="00EF36E0" w:rsidP="00EB2247">
      <w:pPr>
        <w:spacing w:after="0"/>
      </w:pPr>
      <w:r>
        <w:separator/>
      </w:r>
    </w:p>
  </w:footnote>
  <w:footnote w:type="continuationSeparator" w:id="0">
    <w:p w14:paraId="33854821" w14:textId="77777777" w:rsidR="00EF36E0" w:rsidRDefault="00EF36E0" w:rsidP="00EB22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4101" w14:textId="77777777" w:rsidR="00000000" w:rsidRPr="0028427B" w:rsidRDefault="00000000" w:rsidP="00545D2C">
    <w:pPr>
      <w:pStyle w:val="a3"/>
      <w:rPr>
        <w:b/>
      </w:rPr>
    </w:pPr>
    <w:r w:rsidRPr="00EB2247">
      <w:rPr>
        <w:rStyle w:val="2"/>
        <w:rFonts w:ascii="Calibri Light" w:hAnsi="Calibri Light" w:cs="Calibri Light"/>
      </w:rPr>
      <w:t>Хмельницьке комунальне підприємство «</w:t>
    </w:r>
    <w:r w:rsidRPr="00EB2247">
      <w:rPr>
        <w:rStyle w:val="2"/>
        <w:rFonts w:ascii="Calibri Light" w:hAnsi="Calibri Light" w:cs="Calibri Light"/>
        <w:lang w:val="ru-RU"/>
      </w:rPr>
      <w:t>ЕЛЕКТРОТРАНС</w:t>
    </w:r>
    <w:r w:rsidRPr="00EB2247">
      <w:rPr>
        <w:rStyle w:val="2"/>
        <w:rFonts w:ascii="Calibri Light" w:hAnsi="Calibri Light" w:cs="Calibri Light"/>
      </w:rPr>
      <w:t>»</w:t>
    </w:r>
  </w:p>
  <w:p w14:paraId="75C59841" w14:textId="77777777" w:rsidR="00000000" w:rsidRPr="00FA605B" w:rsidRDefault="00000000" w:rsidP="00545D2C">
    <w:pPr>
      <w:pStyle w:val="Heading1CharCharChar1"/>
      <w:keepNext w:val="0"/>
      <w:keepLines w:val="0"/>
      <w:spacing w:before="0"/>
      <w:jc w:val="both"/>
      <w:rPr>
        <w:rFonts w:ascii="Arial" w:hAnsi="Arial" w:cs="Arial"/>
        <w:b/>
        <w:color w:val="auto"/>
        <w:kern w:val="32"/>
        <w:sz w:val="6"/>
        <w:szCs w:val="6"/>
      </w:rPr>
    </w:pPr>
  </w:p>
  <w:p w14:paraId="386EEE19" w14:textId="77777777" w:rsidR="00000000" w:rsidRPr="00FA605B" w:rsidRDefault="00000000" w:rsidP="00545D2C">
    <w:pPr>
      <w:pStyle w:val="Heading1CharCharChar1"/>
      <w:keepNext w:val="0"/>
      <w:keepLines w:val="0"/>
      <w:spacing w:before="0"/>
      <w:jc w:val="both"/>
      <w:rPr>
        <w:rFonts w:ascii="Arial" w:hAnsi="Arial" w:cs="Arial"/>
        <w:b/>
        <w:bCs/>
        <w:color w:val="auto"/>
        <w:kern w:val="32"/>
        <w:sz w:val="20"/>
        <w:szCs w:val="20"/>
      </w:rPr>
    </w:pPr>
    <w:r w:rsidRPr="00FA605B">
      <w:rPr>
        <w:rFonts w:ascii="Arial" w:hAnsi="Arial" w:cs="Arial"/>
        <w:b/>
        <w:color w:val="auto"/>
        <w:kern w:val="32"/>
        <w:sz w:val="20"/>
        <w:szCs w:val="20"/>
      </w:rPr>
      <w:t>Примітки до фінансової звітності</w:t>
    </w:r>
  </w:p>
  <w:p w14:paraId="12B111EC" w14:textId="77777777" w:rsidR="00000000" w:rsidRDefault="00000000" w:rsidP="00545D2C">
    <w:pPr>
      <w:rPr>
        <w:rFonts w:ascii="Arial" w:hAnsi="Arial" w:cs="Arial"/>
        <w:b/>
        <w:sz w:val="20"/>
        <w:szCs w:val="20"/>
        <w:lang w:eastAsia="ru-RU"/>
      </w:rPr>
    </w:pPr>
    <w:proofErr w:type="spellStart"/>
    <w:r w:rsidRPr="00300944">
      <w:rPr>
        <w:rFonts w:ascii="Arial" w:hAnsi="Arial" w:cs="Arial"/>
        <w:b/>
        <w:sz w:val="20"/>
        <w:szCs w:val="20"/>
        <w:lang w:eastAsia="ru-RU"/>
      </w:rPr>
      <w:t>Фінансова</w:t>
    </w:r>
    <w:proofErr w:type="spellEnd"/>
    <w:r w:rsidRPr="00300944">
      <w:rPr>
        <w:rFonts w:ascii="Arial" w:hAnsi="Arial" w:cs="Arial"/>
        <w:b/>
        <w:sz w:val="20"/>
        <w:szCs w:val="20"/>
        <w:lang w:eastAsia="ru-RU"/>
      </w:rPr>
      <w:t xml:space="preserve"> </w:t>
    </w:r>
    <w:proofErr w:type="spellStart"/>
    <w:r w:rsidRPr="00300944">
      <w:rPr>
        <w:rFonts w:ascii="Arial" w:hAnsi="Arial" w:cs="Arial"/>
        <w:b/>
        <w:sz w:val="20"/>
        <w:szCs w:val="20"/>
        <w:lang w:eastAsia="ru-RU"/>
      </w:rPr>
      <w:t>звітність</w:t>
    </w:r>
    <w:proofErr w:type="spellEnd"/>
    <w:r w:rsidRPr="00300944">
      <w:rPr>
        <w:rFonts w:ascii="Arial" w:hAnsi="Arial" w:cs="Arial"/>
        <w:b/>
        <w:sz w:val="20"/>
        <w:szCs w:val="20"/>
        <w:lang w:eastAsia="ru-RU"/>
      </w:rPr>
      <w:t xml:space="preserve">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відповідно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до ПСБО</w:t>
    </w:r>
    <w:r w:rsidRPr="00300944">
      <w:rPr>
        <w:rFonts w:ascii="Arial" w:hAnsi="Arial" w:cs="Arial"/>
        <w:b/>
        <w:sz w:val="20"/>
        <w:szCs w:val="20"/>
        <w:lang w:eastAsia="ru-RU"/>
      </w:rPr>
      <w:t xml:space="preserve"> за </w:t>
    </w:r>
    <w:proofErr w:type="spellStart"/>
    <w:r w:rsidRPr="00300944">
      <w:rPr>
        <w:rFonts w:ascii="Arial" w:hAnsi="Arial" w:cs="Arial"/>
        <w:b/>
        <w:sz w:val="20"/>
        <w:szCs w:val="20"/>
        <w:lang w:eastAsia="ru-RU"/>
      </w:rPr>
      <w:t>р</w:t>
    </w:r>
    <w:r>
      <w:rPr>
        <w:rFonts w:ascii="Arial" w:hAnsi="Arial" w:cs="Arial"/>
        <w:b/>
        <w:sz w:val="20"/>
        <w:szCs w:val="20"/>
        <w:lang w:eastAsia="ru-RU"/>
      </w:rPr>
      <w:t>ік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,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що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закінчився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31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грудня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2022</w:t>
    </w:r>
    <w:r w:rsidRPr="00300944">
      <w:rPr>
        <w:rFonts w:ascii="Arial" w:hAnsi="Arial" w:cs="Arial"/>
        <w:b/>
        <w:sz w:val="20"/>
        <w:szCs w:val="20"/>
        <w:lang w:eastAsia="ru-RU"/>
      </w:rPr>
      <w:t xml:space="preserve"> року</w:t>
    </w:r>
  </w:p>
  <w:p w14:paraId="2E09403C" w14:textId="77777777" w:rsidR="00000000" w:rsidRPr="00EB2247" w:rsidRDefault="00000000" w:rsidP="00545D2C">
    <w:pPr>
      <w:rPr>
        <w:rStyle w:val="2"/>
        <w:rFonts w:ascii="Calibri Light" w:hAnsi="Calibri Light" w:cs="Calibri Light"/>
        <w:b w:val="0"/>
        <w:bCs w:val="0"/>
        <w:sz w:val="20"/>
        <w:szCs w:val="20"/>
      </w:rPr>
    </w:pPr>
    <w:r>
      <w:rPr>
        <w:rFonts w:ascii="Arial" w:hAnsi="Arial" w:cs="Arial"/>
        <w:b/>
        <w:sz w:val="20"/>
        <w:szCs w:val="20"/>
        <w:lang w:eastAsia="ru-RU"/>
      </w:rPr>
      <w:t xml:space="preserve">(в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тисячах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гривень,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якщо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не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зазначено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інше</w:t>
    </w:r>
    <w:proofErr w:type="spellEnd"/>
    <w:r>
      <w:rPr>
        <w:rFonts w:ascii="Arial" w:hAnsi="Arial" w:cs="Arial"/>
        <w:b/>
        <w:sz w:val="20"/>
        <w:szCs w:val="20"/>
        <w:lang w:eastAsia="ru-RU"/>
      </w:rPr>
      <w:t>)</w:t>
    </w:r>
  </w:p>
  <w:p w14:paraId="33F20BCC" w14:textId="77777777" w:rsidR="00000000" w:rsidRPr="00EB2247" w:rsidRDefault="00000000" w:rsidP="00545D2C">
    <w:pPr>
      <w:rPr>
        <w:rStyle w:val="2"/>
        <w:rFonts w:ascii="Calibri Light" w:hAnsi="Calibri Light" w:cs="Calibri Light"/>
        <w:b w:val="0"/>
        <w:bCs w:val="0"/>
        <w:sz w:val="20"/>
        <w:szCs w:val="20"/>
      </w:rPr>
    </w:pPr>
    <w:r w:rsidRPr="00EB2247">
      <w:rPr>
        <w:rStyle w:val="2"/>
        <w:rFonts w:ascii="Calibri Light" w:hAnsi="Calibri Light" w:cs="Calibri Light"/>
        <w:sz w:val="20"/>
        <w:szCs w:val="20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F0"/>
    <w:rsid w:val="00234A07"/>
    <w:rsid w:val="006C0B77"/>
    <w:rsid w:val="008242FF"/>
    <w:rsid w:val="00870751"/>
    <w:rsid w:val="00922C48"/>
    <w:rsid w:val="00B915B7"/>
    <w:rsid w:val="00EA59DF"/>
    <w:rsid w:val="00EB2247"/>
    <w:rsid w:val="00EE4070"/>
    <w:rsid w:val="00EF36E0"/>
    <w:rsid w:val="00F12C76"/>
    <w:rsid w:val="00F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F392"/>
  <w15:chartTrackingRefBased/>
  <w15:docId w15:val="{702A51CE-B71D-477E-90A7-19DF6537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B224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CharCharChar1">
    <w:name w:val="Heading 1 Char Char Char1"/>
    <w:basedOn w:val="a"/>
    <w:next w:val="a"/>
    <w:qFormat/>
    <w:rsid w:val="00EB2247"/>
    <w:pPr>
      <w:keepNext/>
      <w:keepLines/>
      <w:widowControl w:val="0"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uk-UA" w:eastAsia="uk-UA" w:bidi="uk-UA"/>
      <w14:ligatures w14:val="none"/>
    </w:rPr>
  </w:style>
  <w:style w:type="character" w:customStyle="1" w:styleId="10">
    <w:name w:val="Заголовок 1 Знак"/>
    <w:aliases w:val="CHEAD1 Знак,CHEAD11 Знак,CHEAD12 Знак,CHEAD111 Знак,CHEAD13 Знак,CHEAD14 Знак,CHEAD112 Знак,Heading 1 Char1 Char Знак,Heading 1 Char Char Char Знак"/>
    <w:basedOn w:val="a0"/>
    <w:link w:val="1"/>
    <w:rsid w:val="00EB2247"/>
    <w:rPr>
      <w:rFonts w:ascii="Calibri Light" w:eastAsia="Times New Roman" w:hAnsi="Calibri Light" w:cs="Times New Roman"/>
      <w:color w:val="2E74B5"/>
      <w:sz w:val="32"/>
      <w:szCs w:val="32"/>
      <w:lang w:val="uk-UA" w:eastAsia="uk-UA" w:bidi="uk-UA"/>
    </w:rPr>
  </w:style>
  <w:style w:type="character" w:customStyle="1" w:styleId="2">
    <w:name w:val="Колонтитул (2)"/>
    <w:basedOn w:val="a0"/>
    <w:rsid w:val="00EB2247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EB2247"/>
    <w:pPr>
      <w:widowControl w:val="0"/>
      <w:tabs>
        <w:tab w:val="center" w:pos="4677"/>
        <w:tab w:val="right" w:pos="9355"/>
      </w:tabs>
      <w:spacing w:after="0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uk-UA" w:eastAsia="uk-UA" w:bidi="uk-UA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EB2247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uk-UA" w:eastAsia="uk-UA" w:bidi="uk-UA"/>
      <w14:ligatures w14:val="none"/>
    </w:rPr>
  </w:style>
  <w:style w:type="character" w:customStyle="1" w:styleId="11">
    <w:name w:val="Заголовок 1 Знак1"/>
    <w:basedOn w:val="a0"/>
    <w:link w:val="1"/>
    <w:uiPriority w:val="9"/>
    <w:rsid w:val="00EB2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EB224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22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56D0-67D5-4612-B920-0AE587D5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Приставчук Катерина Андріївна</dc:creator>
  <cp:keywords/>
  <dc:description/>
  <cp:lastModifiedBy>Приставчук Катерина Андріївна</cp:lastModifiedBy>
  <cp:revision>2</cp:revision>
  <cp:lastPrinted>2023-08-10T12:45:00Z</cp:lastPrinted>
  <dcterms:created xsi:type="dcterms:W3CDTF">2023-08-10T12:42:00Z</dcterms:created>
  <dcterms:modified xsi:type="dcterms:W3CDTF">2023-08-10T13:06:00Z</dcterms:modified>
</cp:coreProperties>
</file>