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DA" w:rsidRDefault="005003DA" w:rsidP="0026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C65A0" w:rsidRPr="00EC65A0" w:rsidRDefault="00EC65A0" w:rsidP="0026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C65A0" w:rsidRPr="00EC65A0" w:rsidRDefault="00EC65A0" w:rsidP="00EC65A0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EC65A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80CCE7" wp14:editId="2A41925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5A0" w:rsidRPr="00EC65A0" w:rsidRDefault="00EC65A0" w:rsidP="00EC65A0">
      <w:pPr>
        <w:spacing w:after="0"/>
        <w:jc w:val="center"/>
        <w:rPr>
          <w:rFonts w:ascii="Times New Roman" w:hAnsi="Times New Roman" w:cs="Times New Roman"/>
          <w:noProof/>
          <w:sz w:val="30"/>
          <w:szCs w:val="30"/>
        </w:rPr>
      </w:pPr>
      <w:r w:rsidRPr="00EC65A0">
        <w:rPr>
          <w:rFonts w:ascii="Times New Roman" w:hAnsi="Times New Roman" w:cs="Times New Roman"/>
          <w:b/>
          <w:bCs/>
          <w:noProof/>
          <w:sz w:val="30"/>
          <w:szCs w:val="30"/>
        </w:rPr>
        <w:t>ХМЕЛЬНИЦЬКА МІСЬКА РАДА</w:t>
      </w:r>
    </w:p>
    <w:p w:rsidR="00EC65A0" w:rsidRPr="00EC65A0" w:rsidRDefault="00CB0844" w:rsidP="00EC65A0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0"/>
        </w:rPr>
      </w:pPr>
      <w:r>
        <w:rPr>
          <w:rFonts w:ascii="Times New Roman" w:hAnsi="Times New Roman" w:cs="Times New Roman"/>
          <w:noProof/>
        </w:rPr>
        <w:pict>
          <v:rect id="Прямокутник 9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EC65A0" w:rsidRPr="00EC65A0" w:rsidRDefault="00EC65A0" w:rsidP="00EC65A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C65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п’ятої сесії</w:t>
                  </w:r>
                </w:p>
              </w:txbxContent>
            </v:textbox>
          </v:rect>
        </w:pict>
      </w:r>
      <w:r w:rsidR="00EC65A0" w:rsidRPr="00EC65A0">
        <w:rPr>
          <w:rFonts w:ascii="Times New Roman" w:hAnsi="Times New Roman" w:cs="Times New Roman"/>
          <w:b/>
          <w:noProof/>
          <w:sz w:val="36"/>
          <w:szCs w:val="30"/>
        </w:rPr>
        <w:t>РІШЕННЯ</w:t>
      </w:r>
    </w:p>
    <w:p w:rsidR="00EC65A0" w:rsidRPr="00EC65A0" w:rsidRDefault="00EC65A0" w:rsidP="00EC65A0">
      <w:pPr>
        <w:jc w:val="center"/>
        <w:rPr>
          <w:rFonts w:ascii="Times New Roman" w:hAnsi="Times New Roman" w:cs="Times New Roman"/>
          <w:b/>
          <w:bCs/>
          <w:noProof/>
          <w:sz w:val="36"/>
          <w:szCs w:val="30"/>
        </w:rPr>
      </w:pPr>
      <w:r w:rsidRPr="00EC65A0">
        <w:rPr>
          <w:rFonts w:ascii="Times New Roman" w:hAnsi="Times New Roman" w:cs="Times New Roman"/>
          <w:b/>
          <w:noProof/>
          <w:sz w:val="36"/>
          <w:szCs w:val="30"/>
        </w:rPr>
        <w:t>______________________________</w:t>
      </w:r>
    </w:p>
    <w:p w:rsidR="00EC65A0" w:rsidRPr="00EC65A0" w:rsidRDefault="00CB0844" w:rsidP="00EC65A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>
          <v:rect id="Прямокутник 7" o:spid="_x0000_s1027" style="position:absolute;margin-left:189.45pt;margin-top:9.7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<v:textbox>
              <w:txbxContent>
                <w:p w:rsidR="00EC65A0" w:rsidRPr="00EC65A0" w:rsidRDefault="00EC65A0" w:rsidP="00EC65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Прямокутник 8" o:spid="_x0000_s1026" style="position:absolute;margin-left:19.1pt;margin-top:10.35pt;width:127.5pt;height:21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EC65A0" w:rsidRPr="00EC65A0" w:rsidRDefault="00EC65A0" w:rsidP="00EC65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21.04.20</w:t>
                  </w:r>
                  <w:r w:rsidRPr="00EC65A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EC6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:rsidR="00EC65A0" w:rsidRPr="00EC65A0" w:rsidRDefault="00EC65A0" w:rsidP="00EC65A0">
      <w:pPr>
        <w:rPr>
          <w:rFonts w:ascii="Times New Roman" w:hAnsi="Times New Roman" w:cs="Times New Roman"/>
          <w:noProof/>
        </w:rPr>
      </w:pPr>
      <w:r w:rsidRPr="00EC65A0">
        <w:rPr>
          <w:rFonts w:ascii="Times New Roman" w:hAnsi="Times New Roman" w:cs="Times New Roman"/>
          <w:noProof/>
        </w:rPr>
        <w:t>від __________________________ № __________</w:t>
      </w:r>
      <w:r w:rsidRPr="00EC65A0">
        <w:rPr>
          <w:rFonts w:ascii="Times New Roman" w:hAnsi="Times New Roman" w:cs="Times New Roman"/>
          <w:noProof/>
        </w:rPr>
        <w:tab/>
      </w:r>
      <w:r w:rsidRPr="00EC65A0">
        <w:rPr>
          <w:rFonts w:ascii="Times New Roman" w:hAnsi="Times New Roman" w:cs="Times New Roman"/>
          <w:noProof/>
        </w:rPr>
        <w:tab/>
      </w:r>
      <w:r w:rsidRPr="00EC65A0">
        <w:rPr>
          <w:rFonts w:ascii="Times New Roman" w:hAnsi="Times New Roman" w:cs="Times New Roman"/>
          <w:noProof/>
        </w:rPr>
        <w:tab/>
      </w:r>
      <w:r w:rsidRPr="00EC65A0">
        <w:rPr>
          <w:rFonts w:ascii="Times New Roman" w:hAnsi="Times New Roman" w:cs="Times New Roman"/>
          <w:noProof/>
        </w:rPr>
        <w:tab/>
        <w:t>м.Хмельницький</w:t>
      </w:r>
    </w:p>
    <w:p w:rsidR="00264E94" w:rsidRPr="005003DA" w:rsidRDefault="00C24D30" w:rsidP="005003DA">
      <w:pPr>
        <w:spacing w:after="0" w:line="240" w:lineRule="auto"/>
        <w:ind w:right="538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затвердження</w:t>
      </w:r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r w:rsidR="006F67F3" w:rsidRPr="005003D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Програми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антитерористичного та </w:t>
      </w:r>
      <w:proofErr w:type="spellStart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</w:t>
      </w:r>
    </w:p>
    <w:p w:rsidR="005D7A3E" w:rsidRPr="005003DA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4E94" w:rsidRPr="005003DA" w:rsidRDefault="00264E94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6F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Розглянувши пропозицію виконавчого комітету міської ради, </w:t>
      </w:r>
      <w:r w:rsidR="006F67F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підвищення рівня безпеки мешканців 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  <w:r w:rsidR="006F67F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 та керуючись Законом України «Про місцеве самоврядування в Україні»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F67F3" w:rsidRPr="005003DA" w:rsidRDefault="00EE3EC8" w:rsidP="00500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</w:t>
      </w:r>
      <w:r w:rsidR="00C24D30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</w:t>
      </w:r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="00264E94" w:rsidRPr="005003D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Програму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антитерористичного та </w:t>
      </w:r>
      <w:proofErr w:type="spellStart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 </w:t>
      </w:r>
      <w:r w:rsidR="006F67F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(додається).</w:t>
      </w:r>
    </w:p>
    <w:p w:rsidR="00EE3EC8" w:rsidRPr="005003DA" w:rsidRDefault="00EE3EC8" w:rsidP="0050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територіальної громади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EE3EC8" w:rsidRPr="005003DA" w:rsidRDefault="00EE3EC8" w:rsidP="0050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5D7A3E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</w:t>
      </w:r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 з питань оборонної-мобілізаційної і </w:t>
      </w:r>
      <w:proofErr w:type="spellStart"/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-секретної роботи та взаємодії з </w:t>
      </w:r>
      <w:r w:rsidR="00AC6F50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правоохоронними органами.</w:t>
      </w:r>
    </w:p>
    <w:p w:rsidR="005D7A3E" w:rsidRPr="005003DA" w:rsidRDefault="00EE3EC8" w:rsidP="0050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="005D7A3E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D7A3E" w:rsidRPr="005003DA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003DA" w:rsidRPr="005003DA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003DA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="00264E94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:rsidR="005003DA" w:rsidRPr="005003DA" w:rsidRDefault="005003DA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003DA" w:rsidRPr="005003DA" w:rsidRDefault="005003DA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5003DA" w:rsidRPr="005003DA" w:rsidSect="005003DA">
          <w:pgSz w:w="11906" w:h="16838"/>
          <w:pgMar w:top="568" w:right="849" w:bottom="1134" w:left="1418" w:header="708" w:footer="708" w:gutter="0"/>
          <w:cols w:space="708"/>
          <w:docGrid w:linePitch="360"/>
        </w:sectPr>
      </w:pPr>
    </w:p>
    <w:p w:rsidR="00264E94" w:rsidRPr="005003DA" w:rsidRDefault="00264E94" w:rsidP="003B620D">
      <w:pPr>
        <w:spacing w:after="0" w:line="240" w:lineRule="auto"/>
        <w:ind w:left="275" w:firstLine="751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264E94" w:rsidRPr="005003DA" w:rsidRDefault="00264E94" w:rsidP="006C138C">
      <w:pPr>
        <w:spacing w:after="0" w:line="240" w:lineRule="auto"/>
        <w:ind w:firstLine="751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до Програми</w:t>
      </w:r>
    </w:p>
    <w:p w:rsidR="00264E94" w:rsidRPr="005003DA" w:rsidRDefault="00264E94" w:rsidP="00264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64E94" w:rsidRPr="005003DA" w:rsidRDefault="00264E94" w:rsidP="00264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64E94" w:rsidRPr="005003DA" w:rsidRDefault="00264E94" w:rsidP="00264E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ПАСПОРТ</w:t>
      </w:r>
    </w:p>
    <w:p w:rsidR="00264E94" w:rsidRPr="005003DA" w:rsidRDefault="00264E94" w:rsidP="00264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програми забезпечення антитерористичного та </w:t>
      </w:r>
      <w:proofErr w:type="spellStart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2021-2022 роки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528"/>
      </w:tblGrid>
      <w:tr w:rsidR="00264E94" w:rsidRPr="005003DA" w:rsidTr="00CE013F">
        <w:trPr>
          <w:trHeight w:val="836"/>
        </w:trPr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у Хмельницькій області  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CB0844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Хмельницької міської ради, Хмельницька міська рада, Управління Служби безпеки України у Хмельницькій області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CB0844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у Хмельницькій області, </w:t>
            </w:r>
            <w:r w:rsidRPr="005003DA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uk-UA"/>
              </w:rPr>
              <w:t>регіональні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суб’єкти боротьби з тероризмом у межах своїх повноважень, виконавчий комітет Хмельницької міської ради, Хмельницька міська рада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CB0844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Нормативно-правові акти, що стали підставою для розроблення Програми 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 України "Про боротьбу з тероризмом”;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Указ Президента України від 05.03.2019 року                № 53/2019 «Про Концепцію боротьби з тероризмом»;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Постанова КМ України від 18.02.2016 року                       № 92 «Про затвердження Положення про єдину державну систему запобігання, реагування і припинення терористичних актів та мінімізації їх наслідків».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 роки</w:t>
            </w: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територіальної громади</w:t>
            </w: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2 000 тис. грн.</w:t>
            </w: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коштів бюджету Хмельницької територіальної громади      (в межах затвердженого кошторису) 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2 000 тис. грн.</w:t>
            </w:r>
          </w:p>
        </w:tc>
      </w:tr>
    </w:tbl>
    <w:p w:rsidR="00264E94" w:rsidRPr="005003DA" w:rsidRDefault="00264E94" w:rsidP="00264E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264E94" w:rsidRPr="005003DA" w:rsidRDefault="00264E94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3DA" w:rsidRDefault="005003DA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3DA" w:rsidRDefault="005003DA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3DA" w:rsidRPr="005003DA" w:rsidRDefault="005003DA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0844" w:rsidRDefault="00CB08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C138C" w:rsidRPr="000C282C" w:rsidRDefault="006C138C" w:rsidP="000C282C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C282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Додаток</w:t>
      </w:r>
    </w:p>
    <w:p w:rsidR="006C138C" w:rsidRPr="000C282C" w:rsidRDefault="006C138C" w:rsidP="000C282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C282C">
        <w:rPr>
          <w:rFonts w:ascii="Times New Roman" w:hAnsi="Times New Roman" w:cs="Times New Roman"/>
          <w:i/>
          <w:sz w:val="24"/>
          <w:szCs w:val="24"/>
          <w:lang w:val="uk-UA"/>
        </w:rPr>
        <w:t>до рішення сесії міської ради</w:t>
      </w:r>
    </w:p>
    <w:p w:rsidR="006C138C" w:rsidRPr="000C282C" w:rsidRDefault="006C138C" w:rsidP="000C282C">
      <w:pPr>
        <w:spacing w:after="0" w:line="240" w:lineRule="auto"/>
        <w:ind w:left="5664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C282C">
        <w:rPr>
          <w:rFonts w:ascii="Times New Roman" w:hAnsi="Times New Roman" w:cs="Times New Roman"/>
          <w:i/>
          <w:sz w:val="24"/>
          <w:szCs w:val="24"/>
          <w:lang w:val="uk-UA"/>
        </w:rPr>
        <w:t>№</w:t>
      </w:r>
      <w:r w:rsidR="000C282C" w:rsidRPr="000C282C"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 w:rsidRPr="000C282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C282C" w:rsidRPr="000C282C">
        <w:rPr>
          <w:rFonts w:ascii="Times New Roman" w:hAnsi="Times New Roman" w:cs="Times New Roman"/>
          <w:i/>
          <w:sz w:val="24"/>
          <w:szCs w:val="24"/>
          <w:lang w:val="uk-UA"/>
        </w:rPr>
        <w:t>від 21.04.</w:t>
      </w:r>
      <w:r w:rsidRPr="000C282C">
        <w:rPr>
          <w:rFonts w:ascii="Times New Roman" w:hAnsi="Times New Roman" w:cs="Times New Roman"/>
          <w:i/>
          <w:sz w:val="24"/>
          <w:szCs w:val="24"/>
          <w:lang w:val="uk-UA"/>
        </w:rPr>
        <w:t>2021 року</w:t>
      </w:r>
    </w:p>
    <w:p w:rsidR="006C138C" w:rsidRPr="005003DA" w:rsidRDefault="006C138C" w:rsidP="006C1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антитерористичного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Загальні положення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На сьогодні терористична загроза для України є найвищою, а її основним джерелом є не міжнародні терористичні організації, а діяльність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квазідержавних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утворень – так званих «ДНР» і «ЛНР», підтримуваних Російською Федерацією. Методи, якими вони користуються для досягнення своїх політичних цілей, відповідають методам діяльності угрупувань, що низкою країн та міжнародних організацій визнані терористичними. 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Низка чинників дозволяють констатувати існування вірогідності посилення в Україні терористичної загрози, зокрема: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складна політична ситуація в країні;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активізація сепаратистських рухів;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криміналізація та корумпованість усіх сфер життя суспільства;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 xml:space="preserve">- поєднання кримінальної та терористичної діяльності, що виявляється в залученні представників </w:t>
      </w:r>
      <w:proofErr w:type="spellStart"/>
      <w:r w:rsidRPr="005003DA">
        <w:rPr>
          <w:sz w:val="24"/>
          <w:szCs w:val="24"/>
        </w:rPr>
        <w:t>криміналітету</w:t>
      </w:r>
      <w:proofErr w:type="spellEnd"/>
      <w:r w:rsidRPr="005003DA">
        <w:rPr>
          <w:sz w:val="24"/>
          <w:szCs w:val="24"/>
        </w:rPr>
        <w:t xml:space="preserve"> як виконавців терактів;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розширення нелегального ринку зброї (починаючи з 2014 року);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наростання у суспільстві соціального невдоволення та радикалізація його проявів, постійне збільшення кількості осіб, які перебувають за межею бідності або впритул до неї наблизилися;</w:t>
      </w:r>
    </w:p>
    <w:p w:rsidR="006C138C" w:rsidRPr="005003DA" w:rsidRDefault="006C138C" w:rsidP="00CB0844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недоліки в системі охорони об’єктів критичної інфраструктури, підвищеної небезпеки, уразливих у терористичному плані.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У відповідності до Конституції України, з</w:t>
      </w:r>
      <w:r w:rsidRPr="005003DA">
        <w:rPr>
          <w:rFonts w:ascii="Times New Roman" w:hAnsi="Times New Roman" w:cs="Times New Roman"/>
          <w:spacing w:val="-1"/>
          <w:sz w:val="24"/>
          <w:szCs w:val="24"/>
          <w:lang w:val="uk-UA"/>
        </w:rPr>
        <w:t>аконів України «</w:t>
      </w:r>
      <w:r w:rsidRPr="005003DA">
        <w:rPr>
          <w:rFonts w:ascii="Times New Roman" w:hAnsi="Times New Roman" w:cs="Times New Roman"/>
          <w:spacing w:val="11"/>
          <w:sz w:val="24"/>
          <w:szCs w:val="24"/>
          <w:lang w:val="uk-UA"/>
        </w:rPr>
        <w:t>Про Службу безпеки України», «</w:t>
      </w:r>
      <w:r w:rsidRPr="005003D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Про боротьбу з тероризмом», Указів Президента України від 11.12.1998 № 1343/98 «Про Антитерористичний центр України», від 14.04.1999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№ 379/99 «</w:t>
      </w:r>
      <w:r w:rsidRPr="005003DA">
        <w:rPr>
          <w:rFonts w:ascii="Times New Roman" w:hAnsi="Times New Roman" w:cs="Times New Roman"/>
          <w:spacing w:val="11"/>
          <w:sz w:val="24"/>
          <w:szCs w:val="24"/>
          <w:lang w:val="uk-UA"/>
        </w:rPr>
        <w:t>Про положення п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ро Антитерористичний центр та його координаційні групи при регіональних органах Служби безпеки України», від 05.03.2019 № 53/2019 «Про Концепцію боротьби з тероризмом», постанови Кабінету Міністрів України від 18.02.2016 № 92 «Положення про єдину державну систему запобігання, реагування і припинення терористичних актів та мінімізації їх наслідків», інших нормативно-правових актів діє Координаційна група Антитерористичного центру при Управлінні Служби безпеки України у Хмельницькій області (далі – КГ АТЦ при УСБУ ).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КГ АТЦ при УСБУ, спільно з регіональними суб’єктами боротьби з тероризмом на постійній основі відпрацьовуються питання взаємодії із відповідними підрозділами органів влади та місцевого самоврядування, підприємств, установ та організацій, проводяться практичні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атитерористичні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протидиверсійні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тренування і навчання.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i/>
          <w:sz w:val="24"/>
          <w:szCs w:val="24"/>
          <w:lang w:val="uk-UA"/>
        </w:rPr>
        <w:t>* На території Хмельницької міської територіальної громади розташовано 20 із 30 об’єктів області можливої терористичної уразливості, з них 8 – з масовим перебуванням людей, 7 – важливих державних, 3 – єдиної національної транспортної системи, по 1-му підвищеної небезпеки та кримінально-виконавчої системи, що є найбільш потенційно уразливими, і включені до Загальнодержавного переліку.</w:t>
      </w:r>
    </w:p>
    <w:p w:rsidR="006C138C" w:rsidRPr="005003DA" w:rsidRDefault="006C138C" w:rsidP="00CB0844">
      <w:pPr>
        <w:pStyle w:val="31"/>
        <w:tabs>
          <w:tab w:val="left" w:pos="5220"/>
        </w:tabs>
        <w:spacing w:after="0"/>
        <w:ind w:left="0" w:firstLine="567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Учинення терористичних актів на більшості з них може призвести до виникнення надзвичайних ситуацій з численними людськими жертвами, призупинення роботи об’єктів життєзабезпечення, значних матеріальних збитків для економіки.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6600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оперативно-службової діяльності та антитерористичних/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протидиверсійних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тренувань засвідчили нагальну потребу у</w:t>
      </w:r>
      <w:r w:rsidRPr="005003DA">
        <w:rPr>
          <w:rFonts w:ascii="Times New Roman" w:hAnsi="Times New Roman" w:cs="Times New Roman"/>
          <w:color w:val="FF6600"/>
          <w:sz w:val="24"/>
          <w:szCs w:val="24"/>
          <w:lang w:val="uk-UA"/>
        </w:rPr>
        <w:t xml:space="preserve">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створенні оптимальних умов для належної організації та проведення антитерористичних заходів, у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. шляхом поліпшення матеріально-технічних можливостей КГ АТЦ при УСБУ за рахунок коштів міського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lastRenderedPageBreak/>
        <w:t>бюджету</w:t>
      </w:r>
      <w:r w:rsidRPr="005003DA">
        <w:rPr>
          <w:rFonts w:ascii="Times New Roman" w:hAnsi="Times New Roman" w:cs="Times New Roman"/>
          <w:color w:val="FF6600"/>
          <w:sz w:val="24"/>
          <w:szCs w:val="24"/>
          <w:lang w:val="uk-UA"/>
        </w:rPr>
        <w:t xml:space="preserve">.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За висновками членів КГ АТЦ при УСБУ нагальним є питання покращення матеріально-технічного забезпечення оперативного штабу і груп оперативного шикування, що діють в системі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протидиверсійної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та антитерористичної боротьби.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необхідність забезпечення 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ефективної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підготовки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сил і засобів КГ АТЦ при УСБУ до виконання завдань щодо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належного захисту терористично уразливих об'єктів на території Хмельницької міської територіальної громади, своєчасного виявлення й припинення диверсій та терористичних актів, мінімізації їх наслідків, Управлінням розроблено «Програму забезпечення антитерористичного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територіальної громади на 2021-2022 роки».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CB08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підвищення рівня безпеки мешканців Хмельницької міської територіальної громади, створення умов для ефективного вжиття превентивних заходів, спрямованих на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посилення захисту життя і здоров’я людей, громадської безпеки, удосконалення системи охорони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терористично уразливих об’єктів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>та недопущення диверсій і проявів тероризму на її території.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</w:p>
    <w:p w:rsidR="006C138C" w:rsidRPr="005003DA" w:rsidRDefault="006C138C" w:rsidP="00CB08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Завдання Програми</w:t>
      </w:r>
    </w:p>
    <w:p w:rsidR="006C138C" w:rsidRPr="005003DA" w:rsidRDefault="006C138C" w:rsidP="00CB08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  <w:t>Програмою передбачено завдання, спрямовані на:</w:t>
      </w:r>
    </w:p>
    <w:p w:rsidR="006C138C" w:rsidRPr="005003DA" w:rsidRDefault="006C138C" w:rsidP="00CB08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- підвищення рівня готовності сил і засобів, які залучаються КГ АТЦ </w:t>
      </w:r>
      <w:r w:rsidRPr="005003DA">
        <w:rPr>
          <w:rFonts w:ascii="Times New Roman" w:hAnsi="Times New Roman" w:cs="Times New Roman"/>
          <w:spacing w:val="3"/>
          <w:sz w:val="24"/>
          <w:szCs w:val="24"/>
          <w:lang w:val="uk-UA"/>
        </w:rPr>
        <w:t>при УСБУ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, до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протидиверсійних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та антитерористичних заходів,</w:t>
      </w:r>
      <w:r w:rsidRPr="005003DA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забезпечення готовності до їх швидкого застосування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- виявлення та усунення причин і умов, що можуть сприяти кризовим,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терористичним чи екстремістським проявам, унеможливлення вчинення диверсій та терористичних актів на території Хмельницької територіальної громади;</w:t>
      </w:r>
    </w:p>
    <w:p w:rsidR="006C138C" w:rsidRPr="005003DA" w:rsidRDefault="006C138C" w:rsidP="00CB08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- удосконалення координації заходів, що здійснюються регіональними суб’єктами боротьби з тероризмом та місцевими органами виконавчої влади, щодо запобігання, реагування і припинення диверсій, терористичних актів та злочинів терористичної спрямованості, а також попереджувальних, режимних, організаційних, виховних та інших заходів;         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- забезпечення надійного захисту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терористично уразливих об'єктів на території Хмельницької територіальної громади </w:t>
      </w:r>
      <w:r w:rsidRPr="005003DA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та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посилення охоронних заходів у місцях масового перебування людей;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- підвищення рівня матеріально-технічного забезпечення </w:t>
      </w:r>
      <w:r w:rsidRPr="005003DA">
        <w:rPr>
          <w:rFonts w:ascii="Times New Roman" w:hAnsi="Times New Roman" w:cs="Times New Roman"/>
          <w:spacing w:val="2"/>
          <w:sz w:val="24"/>
          <w:szCs w:val="24"/>
          <w:lang w:val="uk-UA"/>
        </w:rPr>
        <w:t>регіональних сил і засобів протидії тероризму.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uk-UA"/>
        </w:rPr>
      </w:pPr>
    </w:p>
    <w:p w:rsidR="006C138C" w:rsidRPr="005003DA" w:rsidRDefault="006C138C" w:rsidP="00CB08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Очікувані результати</w:t>
      </w:r>
    </w:p>
    <w:p w:rsidR="006C138C" w:rsidRPr="005003DA" w:rsidRDefault="006C138C" w:rsidP="00CB08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>Виконання заходів Програми дасть змогу:</w:t>
      </w:r>
    </w:p>
    <w:p w:rsidR="006C138C" w:rsidRPr="005003DA" w:rsidRDefault="006C138C" w:rsidP="00CB08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підвищити рівень безпеки, створити умови для ефективного вжиття превентивних заходів, спрямованих на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посилення захисту життя і здоров’я людей, громадської безпеки, удосконалення системи охорони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терористично уразливих об’єктів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>та недопущення диверсій і проявів тероризму на території Хмельницької територіальної громади;</w:t>
      </w:r>
    </w:p>
    <w:p w:rsidR="006C138C" w:rsidRPr="005003DA" w:rsidRDefault="006C138C" w:rsidP="00CB0844">
      <w:pPr>
        <w:pStyle w:val="a6"/>
        <w:numPr>
          <w:ilvl w:val="0"/>
          <w:numId w:val="5"/>
        </w:numPr>
        <w:ind w:left="0" w:firstLine="567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 xml:space="preserve">покращити взаємодію і координацію дій КГ АТЦ з представниками органів влади та місцевого самоврядування у ході проведення </w:t>
      </w:r>
      <w:proofErr w:type="spellStart"/>
      <w:r w:rsidRPr="005003DA">
        <w:rPr>
          <w:sz w:val="24"/>
          <w:szCs w:val="24"/>
          <w:lang w:val="uk-UA"/>
        </w:rPr>
        <w:t>протидиверсійних</w:t>
      </w:r>
      <w:proofErr w:type="spellEnd"/>
      <w:r w:rsidRPr="005003DA">
        <w:rPr>
          <w:sz w:val="24"/>
          <w:szCs w:val="24"/>
          <w:lang w:val="uk-UA"/>
        </w:rPr>
        <w:t xml:space="preserve"> та антитерористичних навчань;</w:t>
      </w:r>
    </w:p>
    <w:p w:rsidR="006C138C" w:rsidRPr="005003DA" w:rsidRDefault="006C138C" w:rsidP="00CB08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своєчасно реагувати на виклики й терористичні загрози, 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забезпечувати ефективну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підготовку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сил і засобів членів КГ АТЦ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якісного виконання завдань по виявленню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ознак діяльності диверсійно-розвідувальних груп, 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нейтралізації терористів та звільнення заручників при проведенні </w:t>
      </w:r>
      <w:proofErr w:type="spellStart"/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>протидиверсійних</w:t>
      </w:r>
      <w:proofErr w:type="spellEnd"/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антитерористичних операції.</w:t>
      </w:r>
    </w:p>
    <w:p w:rsidR="006C138C" w:rsidRPr="005003DA" w:rsidRDefault="006C138C" w:rsidP="00CB08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C138C" w:rsidRPr="005003DA" w:rsidRDefault="006C138C" w:rsidP="00CB08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Фінансове забезпечення виконання Програми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Фінансування заходів, передбачених Програмою, здійснюватиметься відповідно до законодавства за 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рахунок коштів бюджету Хмельницької міської територіальної громади, а також інших джерел, не заборонених законодавством. </w:t>
      </w: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Заходи реалізації Програми викладені у </w:t>
      </w: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додатку до Програми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антитерористичного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CB0844">
      <w:pPr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>Координація та контроль за ходом виконання Програми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Координацію діяльності органів у процесі виконання Програми забезпечує Управління Служби безпеки України у Хмельницькій області.</w:t>
      </w:r>
    </w:p>
    <w:p w:rsidR="006C138C" w:rsidRPr="005003DA" w:rsidRDefault="006C138C" w:rsidP="00CB0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Управління Служби безпеки України у Хмельницькій області узагальнену інформацію про хід виконання Програми та її результати подає до Хмельницької міської ради після закінчення встановленого терміну її виконання.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  <w:t>Віталій ДІДЕНКО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>Начальник Управління –</w:t>
      </w:r>
      <w:r w:rsidR="00FC7B78">
        <w:rPr>
          <w:sz w:val="24"/>
          <w:szCs w:val="24"/>
          <w:lang w:val="uk-UA"/>
        </w:rPr>
        <w:t xml:space="preserve"> </w:t>
      </w:r>
      <w:r w:rsidRPr="005003DA">
        <w:rPr>
          <w:sz w:val="24"/>
          <w:szCs w:val="24"/>
          <w:lang w:val="uk-UA"/>
        </w:rPr>
        <w:t>керівник координаційної групи</w:t>
      </w:r>
    </w:p>
    <w:p w:rsidR="006C138C" w:rsidRPr="005003DA" w:rsidRDefault="006C138C" w:rsidP="006C138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>Антитерористичного центру при УСБУ</w:t>
      </w:r>
      <w:r w:rsidR="00CB0844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  <w:t>Тарас ЦЮЦЮРА</w:t>
      </w: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218A0" w:rsidRDefault="00D218A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3B620D" w:rsidRPr="005003DA" w:rsidRDefault="003B620D" w:rsidP="00D21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3B620D" w:rsidRPr="005003DA" w:rsidRDefault="003B620D" w:rsidP="00D218A0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3B620D" w:rsidRPr="005003DA" w:rsidRDefault="003B620D" w:rsidP="00D21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3B62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Заходи</w:t>
      </w:r>
    </w:p>
    <w:p w:rsidR="003B620D" w:rsidRPr="005003DA" w:rsidRDefault="003B620D" w:rsidP="003B62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виконання Програми</w:t>
      </w:r>
      <w:r w:rsidRPr="005003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забезпечення антитерористичного та </w:t>
      </w:r>
      <w:proofErr w:type="spellStart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 міської територіальної громади на 2021-2022 роки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709"/>
        <w:gridCol w:w="1984"/>
        <w:gridCol w:w="1701"/>
        <w:gridCol w:w="993"/>
        <w:gridCol w:w="992"/>
      </w:tblGrid>
      <w:tr w:rsidR="003B620D" w:rsidRPr="005003DA" w:rsidTr="00C11230">
        <w:trPr>
          <w:cantSplit/>
          <w:trHeight w:val="210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Орієнтований обсяг фінансування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</w:tr>
      <w:tr w:rsidR="003B620D" w:rsidRPr="005003DA" w:rsidTr="00C11230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3B620D" w:rsidRPr="005003DA" w:rsidTr="00C11230"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B620D" w:rsidRPr="005003DA" w:rsidTr="00C11230">
        <w:trPr>
          <w:cantSplit/>
          <w:trHeight w:val="1642"/>
        </w:trPr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3B620D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Провести командно-штабні, різнорівневі тактико-спеціальні </w:t>
            </w:r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 xml:space="preserve">навчання та тренування (спеціальні експерименти) з </w:t>
            </w:r>
            <w:proofErr w:type="spellStart"/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>протидиверсійної</w:t>
            </w:r>
            <w:proofErr w:type="spellEnd"/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 xml:space="preserve"> і антитерористичної тематики із залученням сил і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засобів різної відомчої належності.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 у Хмельницькій області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  <w:p w:rsidR="003B620D" w:rsidRPr="005003DA" w:rsidRDefault="003B620D" w:rsidP="003B6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5003D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Провести додаткові інструктажі співробітників правоохоронних органів, у </w:t>
            </w:r>
            <w:proofErr w:type="spellStart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залучених до охорони громадського порядку, а також персоналу терористично уразливих об’єктів на предмет своєчасного виявлення окремих осіб, групи та організації, дії яких спрямовані на підготовку та вчинення диверсії або терористичного акту, припинення їх протиправних діянь.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області;</w:t>
            </w:r>
          </w:p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</w:tc>
        <w:tc>
          <w:tcPr>
            <w:tcW w:w="1701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2682"/>
        </w:trPr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D218A0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Забезпечити цілодобовий обмін інформацією чергових служб підрозділів суб’єктів боротьби з тероризмом та місцевими органами влади при отриманні даних про надзвичайну подію з ознаками диверсії чи </w:t>
            </w:r>
            <w:r w:rsidRPr="005003D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терористичного акту, у </w:t>
            </w:r>
            <w:proofErr w:type="spellStart"/>
            <w:r w:rsidRPr="005003D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т.ч</w:t>
            </w:r>
            <w:proofErr w:type="spellEnd"/>
            <w:r w:rsidRPr="005003D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Pr="005003D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на об'єктах можливих 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терористичних спрямувань Хмельницької міської територіальної громади, </w:t>
            </w: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для вироблення і прийняття адекватних 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управлінських рішень,</w:t>
            </w: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вжиття спільних 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заходів щодо локалізації диверсійних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терористичних проявів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області;</w:t>
            </w:r>
          </w:p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C11230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За результатами командно-штабних, тактико-спеціальних </w:t>
            </w:r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 xml:space="preserve">навчань та тренувань інформувати керівництво об’єктів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виявлені факти, причини та умови, що негативно впливають на рівень їх </w:t>
            </w:r>
            <w:proofErr w:type="spellStart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протидиверсійної</w:t>
            </w:r>
            <w:proofErr w:type="spellEnd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антитерористичної захищеності для вжиття запобіжних, режимних, організаційних та роз’яснювальних заходів.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 у Хмельницькій області;</w:t>
            </w:r>
          </w:p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" w:name="n77"/>
            <w:bookmarkEnd w:id="1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метою сприяння державній політиці у сфері боротьби з тероризмом проводити інформаційно - роз’яснювальну роботу серед населення міста через ЗМІ шляхом інформування про факти викритої злочинної діяльності терористичної спрямованості та стосовно її наслідків, про стан злочинності і заходи щодо зниження її рівня, а також про заходи, що вживаються координаційною групою Антитерористичного центру.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172"/>
        </w:trPr>
        <w:tc>
          <w:tcPr>
            <w:tcW w:w="709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Надання субвенції з міського бюджету державному бюджету на покращення матеріально – технічної бази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спеціальних підрозділів АТЦ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1577"/>
        </w:trPr>
        <w:tc>
          <w:tcPr>
            <w:tcW w:w="709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мікроавтобуса для оперативно-слідчої групи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обладнання його у подальшому під пересувну криміналістичну лабораторію (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за власні кошти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);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Хмельницька міська рада,</w:t>
            </w:r>
          </w:p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у Хмельницькій області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172"/>
        </w:trPr>
        <w:tc>
          <w:tcPr>
            <w:tcW w:w="709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автомобіля підвищеної прохідності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передової управлінської групи Хмельницького міського відділу, який в подальшому буде обладнаний додатковими технічними засобами (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за власні кошти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Хмельницька міська рада,</w:t>
            </w:r>
          </w:p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у Хмельницькій області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міської</w:t>
            </w:r>
            <w:r w:rsidR="00C112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850,0</w:t>
            </w:r>
          </w:p>
        </w:tc>
      </w:tr>
      <w:tr w:rsidR="003B620D" w:rsidRPr="005003DA" w:rsidTr="00C11230">
        <w:trPr>
          <w:cantSplit/>
          <w:trHeight w:val="172"/>
        </w:trPr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6.3.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коліматорних прицілів для забезпечення бойової готовності спеціальних підрозділів зведеної бойової групи  КГ АТЦ.</w:t>
            </w:r>
          </w:p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Хмельницька міська рада,</w:t>
            </w:r>
          </w:p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 у Хмельницькій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120,0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620D" w:rsidRPr="005003DA" w:rsidTr="00C11230">
        <w:trPr>
          <w:cantSplit/>
          <w:trHeight w:val="172"/>
        </w:trPr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6.4.</w:t>
            </w:r>
          </w:p>
        </w:tc>
        <w:tc>
          <w:tcPr>
            <w:tcW w:w="3828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Придбання навушників з бойовою </w:t>
            </w:r>
            <w:proofErr w:type="spellStart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гарнітурою</w:t>
            </w:r>
            <w:proofErr w:type="spellEnd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</w:t>
            </w:r>
            <w:r w:rsidRPr="005003DA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/>
              </w:rPr>
              <w:t xml:space="preserve"> ефективної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5003D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сил та засобів  КГ АТЦ.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984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Хмельницька міська рада,</w:t>
            </w:r>
          </w:p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у Хмельницькій області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територіальної громади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150,0</w:t>
            </w:r>
          </w:p>
        </w:tc>
      </w:tr>
      <w:tr w:rsidR="003B620D" w:rsidRPr="005003DA" w:rsidTr="00C11230">
        <w:trPr>
          <w:cantSplit/>
          <w:trHeight w:val="172"/>
        </w:trPr>
        <w:tc>
          <w:tcPr>
            <w:tcW w:w="8931" w:type="dxa"/>
            <w:gridSpan w:val="5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 КОШТІВ:</w:t>
            </w:r>
          </w:p>
        </w:tc>
        <w:tc>
          <w:tcPr>
            <w:tcW w:w="993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C1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1000,0</w:t>
            </w:r>
          </w:p>
        </w:tc>
      </w:tr>
    </w:tbl>
    <w:p w:rsidR="003B620D" w:rsidRPr="005003DA" w:rsidRDefault="003B620D" w:rsidP="003B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620D" w:rsidRPr="005003DA" w:rsidSect="00D218A0">
      <w:pgSz w:w="11906" w:h="16838"/>
      <w:pgMar w:top="568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0384"/>
    <w:multiLevelType w:val="hybridMultilevel"/>
    <w:tmpl w:val="50808F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673B3"/>
    <w:multiLevelType w:val="hybridMultilevel"/>
    <w:tmpl w:val="F9EEE8FA"/>
    <w:lvl w:ilvl="0" w:tplc="68D8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773F11"/>
    <w:multiLevelType w:val="hybridMultilevel"/>
    <w:tmpl w:val="BE1604FE"/>
    <w:lvl w:ilvl="0" w:tplc="2BA4B4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970C9"/>
    <w:multiLevelType w:val="hybridMultilevel"/>
    <w:tmpl w:val="995CF496"/>
    <w:lvl w:ilvl="0" w:tplc="ED3A5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A3E"/>
    <w:rsid w:val="000C282C"/>
    <w:rsid w:val="000E3D47"/>
    <w:rsid w:val="001330ED"/>
    <w:rsid w:val="0017232B"/>
    <w:rsid w:val="002174A3"/>
    <w:rsid w:val="00263E38"/>
    <w:rsid w:val="00264E94"/>
    <w:rsid w:val="00370F8A"/>
    <w:rsid w:val="003B620D"/>
    <w:rsid w:val="005003DA"/>
    <w:rsid w:val="0057640B"/>
    <w:rsid w:val="005D7A3E"/>
    <w:rsid w:val="005E3F2F"/>
    <w:rsid w:val="006020B7"/>
    <w:rsid w:val="006C138C"/>
    <w:rsid w:val="006F67F3"/>
    <w:rsid w:val="00782C12"/>
    <w:rsid w:val="007E54D8"/>
    <w:rsid w:val="00A0546F"/>
    <w:rsid w:val="00A57843"/>
    <w:rsid w:val="00AC6F50"/>
    <w:rsid w:val="00BF7355"/>
    <w:rsid w:val="00C11230"/>
    <w:rsid w:val="00C24D30"/>
    <w:rsid w:val="00CB0844"/>
    <w:rsid w:val="00D218A0"/>
    <w:rsid w:val="00D62E5F"/>
    <w:rsid w:val="00E01BCE"/>
    <w:rsid w:val="00EC0E35"/>
    <w:rsid w:val="00EC65A0"/>
    <w:rsid w:val="00ED3B2A"/>
    <w:rsid w:val="00EE3EC8"/>
    <w:rsid w:val="00EF584D"/>
    <w:rsid w:val="00F749FA"/>
    <w:rsid w:val="00FC6350"/>
    <w:rsid w:val="00FC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6EE3306-7683-4651-B1EB-6EE12C37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7355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6C138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31">
    <w:name w:val="Основний текст з відступом 31"/>
    <w:basedOn w:val="a"/>
    <w:rsid w:val="006C13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">
    <w:name w:val="Body Text Indent 3"/>
    <w:basedOn w:val="a"/>
    <w:link w:val="30"/>
    <w:rsid w:val="006C138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6C138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37B2-F2FB-4D4A-81D9-22AC5C00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2264</Words>
  <Characters>12908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Бульба Вікторія Миколаївна</cp:lastModifiedBy>
  <cp:revision>7</cp:revision>
  <cp:lastPrinted>2021-03-16T07:33:00Z</cp:lastPrinted>
  <dcterms:created xsi:type="dcterms:W3CDTF">2021-04-28T08:06:00Z</dcterms:created>
  <dcterms:modified xsi:type="dcterms:W3CDTF">2021-04-29T06:51:00Z</dcterms:modified>
</cp:coreProperties>
</file>