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F6" w:rsidRDefault="000F4DF6" w:rsidP="000F4DF6">
      <w:pPr>
        <w:ind w:left="4956" w:firstLine="708"/>
      </w:pPr>
      <w:r>
        <w:t xml:space="preserve">Додаток </w:t>
      </w:r>
    </w:p>
    <w:p w:rsidR="000F4DF6" w:rsidRDefault="000F4DF6" w:rsidP="000F4DF6">
      <w:r>
        <w:tab/>
      </w:r>
      <w:r>
        <w:tab/>
      </w:r>
      <w:r>
        <w:tab/>
      </w:r>
      <w:r>
        <w:tab/>
      </w:r>
      <w:r>
        <w:tab/>
      </w:r>
      <w:r>
        <w:tab/>
      </w:r>
      <w:r>
        <w:tab/>
      </w:r>
      <w:r>
        <w:rPr>
          <w:lang w:val="uk-UA"/>
        </w:rPr>
        <w:tab/>
      </w:r>
      <w:r>
        <w:t>до рішення виконавчого комітету</w:t>
      </w:r>
    </w:p>
    <w:p w:rsidR="000F4DF6" w:rsidRDefault="000F4DF6" w:rsidP="000F4DF6">
      <w:r>
        <w:tab/>
        <w:t xml:space="preserve">           </w:t>
      </w:r>
      <w:r>
        <w:tab/>
      </w:r>
      <w:r>
        <w:tab/>
      </w:r>
      <w:r>
        <w:tab/>
      </w:r>
      <w:r>
        <w:tab/>
      </w:r>
      <w:r>
        <w:tab/>
      </w:r>
      <w:r>
        <w:tab/>
      </w:r>
      <w:r>
        <w:rPr>
          <w:lang w:val="uk-UA"/>
        </w:rPr>
        <w:tab/>
      </w:r>
      <w:r>
        <w:t xml:space="preserve">від  </w:t>
      </w:r>
      <w:r>
        <w:rPr>
          <w:lang w:val="uk-UA"/>
        </w:rPr>
        <w:t>14.12.</w:t>
      </w:r>
      <w:r>
        <w:t>20</w:t>
      </w:r>
      <w:r>
        <w:rPr>
          <w:lang w:val="uk-UA"/>
        </w:rPr>
        <w:t>20</w:t>
      </w:r>
      <w:r>
        <w:t xml:space="preserve">р  № </w:t>
      </w:r>
      <w:r>
        <w:rPr>
          <w:lang w:val="uk-UA"/>
        </w:rPr>
        <w:t>980</w:t>
      </w:r>
      <w:r>
        <w:tab/>
      </w:r>
    </w:p>
    <w:p w:rsidR="000F4DF6" w:rsidRDefault="000F4DF6" w:rsidP="000F4DF6">
      <w:pPr>
        <w:pStyle w:val="NormalWeb"/>
        <w:ind w:right="393" w:firstLine="708"/>
        <w:jc w:val="center"/>
        <w:textAlignment w:val="baseline"/>
        <w:rPr>
          <w:b/>
        </w:rPr>
      </w:pPr>
    </w:p>
    <w:p w:rsidR="000F4DF6" w:rsidRDefault="000F4DF6" w:rsidP="000F4DF6">
      <w:pPr>
        <w:pStyle w:val="NormalWeb"/>
        <w:ind w:right="393" w:firstLine="708"/>
        <w:jc w:val="center"/>
        <w:textAlignment w:val="baseline"/>
        <w:rPr>
          <w:b/>
        </w:rPr>
      </w:pPr>
      <w:r>
        <w:rPr>
          <w:b/>
        </w:rPr>
        <w:t>Положення</w:t>
      </w:r>
    </w:p>
    <w:p w:rsidR="000F4DF6" w:rsidRDefault="000F4DF6" w:rsidP="000F4DF6">
      <w:pPr>
        <w:pStyle w:val="NormalWeb"/>
        <w:ind w:right="15" w:firstLine="708"/>
        <w:jc w:val="both"/>
        <w:textAlignment w:val="baseline"/>
        <w:rPr>
          <w:b/>
          <w:lang w:val="ru-RU"/>
        </w:rPr>
      </w:pPr>
      <w:r>
        <w:rPr>
          <w:b/>
        </w:rPr>
        <w:t>про порядок розрахунку за надані пільги на послуги зв’</w:t>
      </w:r>
      <w:r>
        <w:rPr>
          <w:b/>
          <w:lang w:val="ru-RU"/>
        </w:rPr>
        <w:t>язку, компенсаційних  виплат за пільговий  проїзд окремих категорій громадян в електротранспорті,  інших  передбачених  законодавством пільг</w:t>
      </w:r>
    </w:p>
    <w:p w:rsidR="000F4DF6" w:rsidRDefault="000F4DF6" w:rsidP="000F4DF6">
      <w:pPr>
        <w:pStyle w:val="normalwebcxsplast"/>
        <w:ind w:right="391"/>
        <w:contextualSpacing/>
        <w:jc w:val="center"/>
        <w:textAlignment w:val="baseline"/>
        <w:rPr>
          <w:b/>
          <w:lang w:val="uk-UA"/>
        </w:rPr>
      </w:pPr>
    </w:p>
    <w:p w:rsidR="000F4DF6" w:rsidRPr="000F4DF6" w:rsidRDefault="000F4DF6" w:rsidP="000F4DF6">
      <w:pPr>
        <w:pStyle w:val="normalwebcxsplast"/>
        <w:ind w:right="391"/>
        <w:contextualSpacing/>
        <w:jc w:val="center"/>
        <w:textAlignment w:val="baseline"/>
        <w:rPr>
          <w:lang w:val="uk-UA"/>
        </w:rPr>
      </w:pPr>
      <w:r w:rsidRPr="000F4DF6">
        <w:rPr>
          <w:b/>
          <w:lang w:val="uk-UA"/>
        </w:rPr>
        <w:t>1. Загальні  положення</w:t>
      </w:r>
    </w:p>
    <w:p w:rsidR="000F4DF6" w:rsidRPr="000F4DF6" w:rsidRDefault="000F4DF6" w:rsidP="000F4DF6">
      <w:pPr>
        <w:ind w:right="15" w:firstLine="708"/>
        <w:contextualSpacing/>
        <w:jc w:val="both"/>
        <w:rPr>
          <w:rFonts w:cs="Tahoma"/>
          <w:lang w:val="uk-UA"/>
        </w:rPr>
      </w:pPr>
      <w:r w:rsidRPr="000F4DF6">
        <w:rPr>
          <w:lang w:val="uk-UA"/>
        </w:rPr>
        <w:t xml:space="preserve">1.1. Положення  встановлює  порядок здійснення розрахунків за  надані пільги на послуги  зв’язку, компенсаційні  виплати за пільговий  проїзд окремих категорій громадян </w:t>
      </w:r>
      <w:r w:rsidRPr="00393F54">
        <w:rPr>
          <w:lang w:val="uk-UA"/>
        </w:rPr>
        <w:t>на маршрутах</w:t>
      </w:r>
      <w:r w:rsidRPr="000F4DF6">
        <w:rPr>
          <w:lang w:val="uk-UA"/>
        </w:rPr>
        <w:t xml:space="preserve"> в електротранспорті</w:t>
      </w:r>
      <w:r w:rsidRPr="00393F54">
        <w:rPr>
          <w:lang w:val="uk-UA"/>
        </w:rPr>
        <w:t xml:space="preserve">, </w:t>
      </w:r>
      <w:r w:rsidRPr="000F4DF6">
        <w:rPr>
          <w:lang w:val="uk-UA"/>
        </w:rPr>
        <w:t>де замовником послуг з перевезення пасажирів виступає виконавчий  комітет Хмельницької міської ради</w:t>
      </w:r>
      <w:r w:rsidRPr="00393F54">
        <w:rPr>
          <w:lang w:val="uk-UA"/>
        </w:rPr>
        <w:t>,</w:t>
      </w:r>
      <w:r w:rsidRPr="000F4DF6">
        <w:rPr>
          <w:lang w:val="uk-UA"/>
        </w:rPr>
        <w:t xml:space="preserve"> інших передбачених законодавством пільг</w:t>
      </w:r>
      <w:r w:rsidRPr="000F4DF6">
        <w:rPr>
          <w:rFonts w:cs="Tahoma"/>
          <w:lang w:val="uk-UA"/>
        </w:rPr>
        <w:t>.</w:t>
      </w:r>
    </w:p>
    <w:p w:rsidR="000F4DF6" w:rsidRPr="00393F54" w:rsidRDefault="000F4DF6" w:rsidP="000F4DF6">
      <w:pPr>
        <w:pStyle w:val="HTML"/>
        <w:shd w:val="clear" w:color="auto" w:fill="FFFFFF"/>
        <w:ind w:right="15"/>
        <w:jc w:val="both"/>
        <w:textAlignment w:val="baseline"/>
        <w:rPr>
          <w:rFonts w:ascii="Times New Roman" w:hAnsi="Times New Roman"/>
          <w:sz w:val="24"/>
          <w:szCs w:val="24"/>
        </w:rPr>
      </w:pPr>
      <w:r w:rsidRPr="00393F54">
        <w:rPr>
          <w:rFonts w:ascii="Times New Roman" w:hAnsi="Times New Roman"/>
          <w:sz w:val="24"/>
          <w:szCs w:val="24"/>
        </w:rPr>
        <w:t xml:space="preserve">            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w:t>
      </w:r>
      <w:hyperlink r:id="rId4" w:tgtFrame="_blank" w:history="1">
        <w:r w:rsidRPr="00393F54">
          <w:rPr>
            <w:rFonts w:ascii="Times New Roman" w:hAnsi="Times New Roman"/>
            <w:sz w:val="24"/>
            <w:szCs w:val="24"/>
          </w:rPr>
          <w:t>Про міський електричний транспорт</w:t>
        </w:r>
      </w:hyperlink>
      <w:r w:rsidRPr="00393F54">
        <w:rPr>
          <w:rFonts w:ascii="Times New Roman" w:hAnsi="Times New Roman"/>
          <w:sz w:val="24"/>
          <w:szCs w:val="24"/>
        </w:rPr>
        <w:t>»,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w:t>
      </w:r>
      <w:r w:rsidRPr="00393F54">
        <w:rPr>
          <w:rFonts w:ascii="Times New Roman" w:hAnsi="Times New Roman"/>
          <w:bCs/>
          <w:sz w:val="24"/>
          <w:szCs w:val="24"/>
          <w:bdr w:val="none" w:sz="0" w:space="0" w:color="auto" w:frame="1"/>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Pr="00393F54">
        <w:rPr>
          <w:rFonts w:ascii="Times New Roman" w:hAnsi="Times New Roman"/>
          <w:sz w:val="24"/>
          <w:szCs w:val="24"/>
        </w:rPr>
        <w:t xml:space="preserve">»,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w:t>
      </w:r>
      <w:r w:rsidRPr="00393F54">
        <w:rPr>
          <w:rStyle w:val="a3"/>
          <w:rFonts w:ascii="Times New Roman" w:hAnsi="Times New Roman"/>
          <w:i w:val="0"/>
          <w:sz w:val="24"/>
          <w:szCs w:val="24"/>
        </w:rPr>
        <w:t xml:space="preserve">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w:t>
      </w:r>
      <w:r w:rsidRPr="00393F54">
        <w:rPr>
          <w:rFonts w:ascii="Times New Roman" w:hAnsi="Times New Roman"/>
          <w:sz w:val="24"/>
          <w:szCs w:val="24"/>
        </w:rPr>
        <w:t>інші законодавчі і нормативні акти, що регулюють відносини у відповідній сфері.</w:t>
      </w:r>
    </w:p>
    <w:p w:rsidR="000F4DF6" w:rsidRPr="00393F54" w:rsidRDefault="000F4DF6" w:rsidP="000F4DF6">
      <w:pPr>
        <w:tabs>
          <w:tab w:val="left" w:pos="7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3F54">
        <w:rPr>
          <w:lang w:val="uk-UA"/>
        </w:rPr>
        <w:tab/>
      </w:r>
      <w:r w:rsidRPr="00393F54">
        <w:t>1.3. Основні поняття, які застосовуються в даному Положенні:</w:t>
      </w:r>
    </w:p>
    <w:p w:rsidR="000F4DF6" w:rsidRPr="00393F54" w:rsidRDefault="000F4DF6" w:rsidP="000F4DF6">
      <w:pPr>
        <w:ind w:firstLine="709"/>
        <w:jc w:val="both"/>
        <w:rPr>
          <w:bCs/>
        </w:rPr>
      </w:pPr>
      <w:r w:rsidRPr="00393F54">
        <w:t xml:space="preserve">1.3.1. </w:t>
      </w:r>
      <w:r w:rsidRPr="00393F54">
        <w:rPr>
          <w:bCs/>
        </w:rPr>
        <w:t>Автоматизована система обліку оплати проїзду (АСООП) – програмно-технічний комплекс призначений для здійснення обліку наданих транспортних послуг та обліку пасажирів за допомогою електронного квитка</w:t>
      </w:r>
      <w:r w:rsidRPr="00393F54">
        <w:t xml:space="preserve">; </w:t>
      </w:r>
      <w:bookmarkStart w:id="0" w:name="n16"/>
      <w:bookmarkEnd w:id="0"/>
    </w:p>
    <w:p w:rsidR="000F4DF6" w:rsidRPr="00393F54" w:rsidRDefault="000F4DF6" w:rsidP="000F4DF6">
      <w:pPr>
        <w:ind w:firstLine="709"/>
        <w:jc w:val="both"/>
      </w:pPr>
      <w:r w:rsidRPr="00393F54">
        <w:t>1.3.2. Електронний квиток (ЕК) – проїзний документ встановленої форми (смарт-картка), який після реєстрації/фіксації у АСООП дає право пасажиру на одержання транспортних послуг;</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bookmarkStart w:id="1" w:name="n17"/>
      <w:bookmarkEnd w:id="1"/>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 xml:space="preserve">1.3.4. Персоніфікований ЕК (ПЕК) - встановленої форми смарт-картка, дійсна з моменту придбання/отримання, </w:t>
      </w:r>
      <w:r w:rsidRPr="00393F54">
        <w:rPr>
          <w:shd w:val="clear" w:color="auto" w:fill="FFFFFF"/>
        </w:rPr>
        <w:t xml:space="preserve">містить дані в електронній формі та реквізити в графічному </w:t>
      </w:r>
      <w:r w:rsidRPr="00393F54">
        <w:rPr>
          <w:shd w:val="clear" w:color="auto" w:fill="FFFFFF"/>
        </w:rPr>
        <w:lastRenderedPageBreak/>
        <w:t>вигляді (прізвище та ім'я, фотокартку, що нанесені на картку), які дають змогу з використанням електронних засобів чи візуально ідентифікувати її держателя</w:t>
      </w:r>
      <w:r w:rsidRPr="00393F54">
        <w:t>;</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1.3.5. Квиток - проїзний документ встановленої форми, який надає право пасажиру на одержання транспортних послуг;</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93"/>
        <w:jc w:val="center"/>
        <w:rPr>
          <w:b/>
        </w:rPr>
      </w:pPr>
      <w:r w:rsidRPr="00393F54">
        <w:rPr>
          <w:b/>
        </w:rPr>
        <w:t>2. Визначення права на пільгу</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93"/>
        <w:jc w:val="center"/>
        <w:rPr>
          <w:sz w:val="16"/>
          <w:szCs w:val="16"/>
        </w:rPr>
      </w:pP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2.1. Дія цього Положення поширюється на окремі категорії осіб, які мають право на пільги з оплати проїзду електротранспортом загального користування</w:t>
      </w:r>
      <w:r w:rsidRPr="00393F54">
        <w:rPr>
          <w:lang w:val="uk-UA"/>
        </w:rPr>
        <w:t xml:space="preserve"> на маршрутах, </w:t>
      </w:r>
      <w:r w:rsidRPr="00393F54">
        <w:t>де замовником послуг з перевезення пасажирів виступає виконавчий  комітет Хмельницької міської ради, а саме:</w:t>
      </w:r>
    </w:p>
    <w:p w:rsidR="000F4DF6" w:rsidRPr="00393F54" w:rsidRDefault="000F4DF6" w:rsidP="000F4DF6">
      <w:pPr>
        <w:shd w:val="clear" w:color="auto" w:fill="FFFFFF"/>
        <w:spacing w:after="150"/>
        <w:ind w:firstLine="450"/>
        <w:jc w:val="both"/>
      </w:pPr>
      <w:bookmarkStart w:id="2" w:name="n15"/>
      <w:bookmarkEnd w:id="2"/>
      <w:r w:rsidRPr="00393F54">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jc w:val="both"/>
      </w:pPr>
      <w:r w:rsidRPr="00393F54">
        <w:t>учасників ліквідації наслідків аварії на Чорнобильській АЕС, віднесених до категорії 2, відповідно до </w:t>
      </w:r>
      <w:hyperlink r:id="rId5" w:anchor="n247" w:tgtFrame="_blank" w:history="1">
        <w:r w:rsidRPr="00393F54">
          <w:t>статті 21</w:t>
        </w:r>
      </w:hyperlink>
      <w:r w:rsidRPr="00393F54">
        <w:t>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jc w:val="both"/>
      </w:pPr>
      <w:r w:rsidRPr="00393F54">
        <w:t>дітей, потерпілих від Чорнобильської катастрофи, яким встановлено інвалідність, пов’язану з Чорнобильською катастрофою, відповідно до </w:t>
      </w:r>
      <w:hyperlink r:id="rId6" w:anchor="n335" w:tgtFrame="_blank" w:history="1">
        <w:r w:rsidRPr="00393F54">
          <w:t>статті 30</w:t>
        </w:r>
      </w:hyperlink>
      <w:r w:rsidRPr="00393F54">
        <w:t>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jc w:val="both"/>
      </w:pPr>
      <w:bookmarkStart w:id="3" w:name="n18"/>
      <w:bookmarkEnd w:id="3"/>
      <w:r w:rsidRPr="00393F54">
        <w:t>учасників бойових дій відповідно до </w:t>
      </w:r>
      <w:hyperlink r:id="rId7" w:anchor="n195" w:tgtFrame="_blank" w:history="1">
        <w:r w:rsidRPr="00393F54">
          <w:t>статті 12</w:t>
        </w:r>
      </w:hyperlink>
      <w:r w:rsidRPr="00393F54">
        <w:t>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jc w:val="both"/>
      </w:pPr>
      <w:bookmarkStart w:id="4" w:name="n19"/>
      <w:bookmarkEnd w:id="4"/>
      <w:r w:rsidRPr="00393F54">
        <w:t>осіб з інвалідністю внаслідок війни  та осіб, які супроводжують осіб з інвалідністю внаслідок війни I групи, відповідно до </w:t>
      </w:r>
      <w:hyperlink r:id="rId8" w:anchor="n258" w:tgtFrame="_blank" w:history="1">
        <w:r w:rsidRPr="00393F54">
          <w:t>статті 13</w:t>
        </w:r>
      </w:hyperlink>
      <w:r w:rsidRPr="00393F54">
        <w:t>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jc w:val="both"/>
      </w:pPr>
      <w:r w:rsidRPr="00393F54">
        <w:rPr>
          <w:shd w:val="clear" w:color="auto" w:fill="FFFFFF"/>
        </w:rPr>
        <w:t>постраждалих учасників Революції Гідності</w:t>
      </w:r>
      <w:r w:rsidRPr="00393F54">
        <w:t xml:space="preserve"> відповідно до </w:t>
      </w:r>
      <w:hyperlink r:id="rId9" w:anchor="n258" w:tgtFrame="_blank" w:history="1">
        <w:r w:rsidRPr="00393F54">
          <w:t>статті 1</w:t>
        </w:r>
      </w:hyperlink>
      <w:r w:rsidRPr="00393F54">
        <w:t>6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jc w:val="both"/>
      </w:pPr>
      <w:r w:rsidRPr="00393F54">
        <w:t>жертвам нацистських переслідувань  відповідно до </w:t>
      </w:r>
      <w:hyperlink r:id="rId10" w:anchor="n195" w:tgtFrame="_blank" w:history="1">
        <w:r w:rsidRPr="00393F54">
          <w:t xml:space="preserve">статті </w:t>
        </w:r>
      </w:hyperlink>
      <w:r w:rsidRPr="00393F54">
        <w:t>6</w:t>
      </w:r>
      <w:r w:rsidRPr="00393F54">
        <w:rPr>
          <w:vertAlign w:val="superscript"/>
        </w:rPr>
        <w:t xml:space="preserve">1 </w:t>
      </w:r>
      <w:r w:rsidRPr="00393F54">
        <w:t>та 6</w:t>
      </w:r>
      <w:r w:rsidRPr="00393F54">
        <w:rPr>
          <w:vertAlign w:val="superscript"/>
        </w:rPr>
        <w:t>2</w:t>
      </w:r>
      <w:r w:rsidRPr="00393F54">
        <w:t>  Закону України «Про жертви нацистських переслідувань»;</w:t>
      </w:r>
    </w:p>
    <w:p w:rsidR="000F4DF6" w:rsidRPr="00393F54" w:rsidRDefault="000F4DF6" w:rsidP="000F4DF6">
      <w:pPr>
        <w:shd w:val="clear" w:color="auto" w:fill="FFFFFF"/>
        <w:spacing w:after="150"/>
        <w:ind w:firstLine="450"/>
        <w:jc w:val="both"/>
      </w:pPr>
      <w:bookmarkStart w:id="5" w:name="n20"/>
      <w:bookmarkEnd w:id="5"/>
      <w:r w:rsidRPr="00393F54">
        <w:t>дітей з багатодітних сімей відповідно до </w:t>
      </w:r>
      <w:hyperlink r:id="rId11" w:anchor="n122" w:tgtFrame="_blank" w:history="1">
        <w:r w:rsidRPr="00393F54">
          <w:t>статті 13</w:t>
        </w:r>
      </w:hyperlink>
      <w:r w:rsidRPr="00393F54">
        <w:t> Закону України «Про охорону дитинства»;</w:t>
      </w:r>
    </w:p>
    <w:p w:rsidR="000F4DF6" w:rsidRPr="00393F54" w:rsidRDefault="000F4DF6" w:rsidP="000F4DF6">
      <w:pPr>
        <w:shd w:val="clear" w:color="auto" w:fill="FFFFFF"/>
        <w:spacing w:after="150"/>
        <w:ind w:firstLine="450"/>
        <w:jc w:val="both"/>
      </w:pPr>
      <w:bookmarkStart w:id="6" w:name="n21"/>
      <w:bookmarkEnd w:id="6"/>
      <w:r w:rsidRPr="00393F54">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w:t>
      </w:r>
      <w:hyperlink r:id="rId12" w:tgtFrame="_blank" w:history="1">
        <w:r w:rsidRPr="00393F54">
          <w:t>статті 6</w:t>
        </w:r>
      </w:hyperlink>
      <w:r w:rsidRPr="00393F54">
        <w:t>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0F4DF6" w:rsidRPr="00393F54" w:rsidRDefault="000F4DF6" w:rsidP="000F4DF6">
      <w:pPr>
        <w:shd w:val="clear" w:color="auto" w:fill="FFFFFF"/>
        <w:spacing w:after="150"/>
        <w:ind w:firstLine="450"/>
        <w:jc w:val="both"/>
      </w:pPr>
      <w:bookmarkStart w:id="7" w:name="n22"/>
      <w:bookmarkEnd w:id="7"/>
      <w:r w:rsidRPr="00393F54">
        <w:t>батьків військовослужбовців, які загинули чи померли або пропали безвісти під час проходження військової служби, відповідно до </w:t>
      </w:r>
      <w:hyperlink r:id="rId13" w:anchor="n245" w:tgtFrame="_blank" w:history="1">
        <w:r w:rsidRPr="00393F54">
          <w:t>статті 14</w:t>
        </w:r>
      </w:hyperlink>
      <w:r w:rsidRPr="00393F54">
        <w:t> Закону України «Про соціальний і правовий захист військовослужбовців та членів їх сімей»;</w:t>
      </w:r>
    </w:p>
    <w:p w:rsidR="000F4DF6" w:rsidRPr="00393F54" w:rsidRDefault="000F4DF6" w:rsidP="000F4DF6">
      <w:pPr>
        <w:shd w:val="clear" w:color="auto" w:fill="FFFFFF"/>
        <w:spacing w:after="150"/>
        <w:ind w:firstLine="450"/>
        <w:jc w:val="both"/>
      </w:pPr>
      <w:bookmarkStart w:id="8" w:name="n23"/>
      <w:bookmarkEnd w:id="8"/>
      <w:r w:rsidRPr="00393F54">
        <w:t xml:space="preserve">осіб з інвалідністю </w:t>
      </w:r>
      <w:r w:rsidRPr="00393F54">
        <w:rPr>
          <w:lang w:val="en-US"/>
        </w:rPr>
        <w:t>I</w:t>
      </w:r>
      <w:r w:rsidRPr="00393F54">
        <w:t xml:space="preserve"> та </w:t>
      </w:r>
      <w:r w:rsidRPr="00393F54">
        <w:rPr>
          <w:lang w:val="en-US"/>
        </w:rPr>
        <w:t>II</w:t>
      </w:r>
      <w:r w:rsidRPr="00393F54">
        <w:t xml:space="preserve"> групи, дітей з інвалідністю та осіб, які супроводжують осіб з інвалідністю I групи або дітей з інвалідністю (не більше одного супроводжуючого), відповідно до </w:t>
      </w:r>
      <w:hyperlink r:id="rId14" w:tgtFrame="_blank" w:history="1">
        <w:r w:rsidRPr="00393F54">
          <w:t>статті 38</w:t>
        </w:r>
      </w:hyperlink>
      <w:r w:rsidRPr="00393F54">
        <w:rPr>
          <w:vertAlign w:val="superscript"/>
        </w:rPr>
        <w:t>1</w:t>
      </w:r>
      <w:r w:rsidRPr="00393F54">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rsidR="000F4DF6" w:rsidRPr="00393F54" w:rsidRDefault="000F4DF6" w:rsidP="000F4DF6">
      <w:pPr>
        <w:shd w:val="clear" w:color="auto" w:fill="FFFFFF"/>
        <w:spacing w:after="150"/>
        <w:ind w:firstLine="450"/>
        <w:jc w:val="both"/>
      </w:pPr>
      <w:r w:rsidRPr="00393F54">
        <w:lastRenderedPageBreak/>
        <w:t xml:space="preserve"> </w:t>
      </w:r>
      <w:bookmarkStart w:id="9" w:name="n24"/>
      <w:bookmarkEnd w:id="9"/>
      <w:r w:rsidRPr="00393F54">
        <w:t>реабілітованих осіб, які отримали інвалідність внаслідок репресій або є пенсіонерами, відповідно до </w:t>
      </w:r>
      <w:hyperlink r:id="rId15" w:tgtFrame="_blank" w:history="1">
        <w:r w:rsidRPr="00393F54">
          <w:t>статті 6</w:t>
        </w:r>
      </w:hyperlink>
      <w:r w:rsidRPr="00393F54">
        <w:t> Закону України «Про реабілітацію жертв репресій комуністичного тоталітарного режиму 1917-1991 років»</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w:t>
      </w:r>
      <w:r w:rsidRPr="00393F54">
        <w:rPr>
          <w:lang w:val="uk-UA"/>
        </w:rPr>
        <w:t xml:space="preserve"> на маршрутах, </w:t>
      </w:r>
      <w:r w:rsidRPr="00393F54">
        <w:t xml:space="preserve">де замовником послуг з перевезення пасажирів виступає виконавчий  комітет Хмельницької міської ради, а саме: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pPr>
      <w:r w:rsidRPr="00393F54">
        <w:t xml:space="preserve">членам сімей загиблих (померлих) ветеранів війни;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pPr>
      <w:r w:rsidRPr="00393F54">
        <w:t xml:space="preserve">членам сімей  військовослужбовців, які загинули (померли) чи пропали безвісти  під час проходження  військової служби;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rPr>
          <w:lang w:val="uk-UA"/>
        </w:rPr>
      </w:pPr>
      <w:r w:rsidRPr="00393F54">
        <w:t>пенсіонерам за віком</w:t>
      </w:r>
      <w:r w:rsidRPr="00393F54">
        <w:rPr>
          <w:lang w:val="uk-UA"/>
        </w:rPr>
        <w:t>;</w:t>
      </w:r>
      <w:r w:rsidRPr="00393F54">
        <w:rPr>
          <w:rStyle w:val="normalwebcxsplast"/>
          <w:i/>
          <w:lang w:val="uk-UA"/>
        </w:rPr>
        <w:t xml:space="preserve"> </w:t>
      </w:r>
      <w:r w:rsidRPr="00393F54">
        <w:rPr>
          <w:rStyle w:val="a3"/>
          <w:i w:val="0"/>
          <w:lang w:val="uk-UA"/>
        </w:rPr>
        <w:t>пенсіонерам за вислугою років та пенсіонерам у разі втрати годувальника (з числа досягнувших 60-ти річного віку);</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pPr>
      <w:r w:rsidRPr="00393F54">
        <w:t xml:space="preserve">особам з  інвалідністю </w:t>
      </w:r>
      <w:r w:rsidRPr="00393F54">
        <w:rPr>
          <w:lang w:val="en-US"/>
        </w:rPr>
        <w:t>III</w:t>
      </w:r>
      <w:r w:rsidRPr="00393F54">
        <w:t xml:space="preserve"> групи.</w:t>
      </w: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pPr>
      <w:r w:rsidRPr="00393F54">
        <w:tab/>
      </w: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pPr>
      <w:r w:rsidRPr="00393F54">
        <w:tab/>
        <w:t xml:space="preserve">2.3. Відповідно до чинного законодавства право на пільги на послуги  зв’язку,  інші передбачені законодавством пільги надаються: </w:t>
      </w: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 xml:space="preserve">учасникам бойових дій та </w:t>
      </w:r>
      <w:r w:rsidRPr="00393F54">
        <w:rPr>
          <w:shd w:val="clear" w:color="auto" w:fill="FFFFFF"/>
        </w:rPr>
        <w:t>постраждалим учасникам Революції Гідності</w:t>
      </w:r>
      <w:r w:rsidRPr="00393F54">
        <w:t xml:space="preserve"> відповідно до </w:t>
      </w:r>
      <w:hyperlink r:id="rId16" w:anchor="n195" w:tgtFrame="_blank" w:history="1">
        <w:r w:rsidRPr="00393F54">
          <w:t>статті 12</w:t>
        </w:r>
      </w:hyperlink>
      <w:r w:rsidRPr="00393F54">
        <w:t>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особам з інвалідністю внаслідок війни відповідно до </w:t>
      </w:r>
      <w:hyperlink r:id="rId17" w:anchor="n195" w:tgtFrame="_blank" w:history="1">
        <w:r w:rsidRPr="00393F54">
          <w:t>статті 1</w:t>
        </w:r>
      </w:hyperlink>
      <w:r w:rsidRPr="00393F54">
        <w:t>3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учасникам війни відповідно до </w:t>
      </w:r>
      <w:hyperlink r:id="rId18" w:anchor="n195" w:tgtFrame="_blank" w:history="1">
        <w:r w:rsidRPr="00393F54">
          <w:t>статті 1</w:t>
        </w:r>
      </w:hyperlink>
      <w:r w:rsidRPr="00393F54">
        <w:t>4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rPr>
          <w:shd w:val="clear" w:color="auto" w:fill="FFFFFF"/>
        </w:rPr>
        <w:t xml:space="preserve">особам, на яких поширюється чинність </w:t>
      </w:r>
      <w:r w:rsidRPr="00393F54">
        <w:t xml:space="preserve"> Закону України «Про статус ветеранів війни, гарантії їх соціального захисту», відповідно до </w:t>
      </w:r>
      <w:hyperlink r:id="rId19" w:anchor="n195" w:tgtFrame="_blank" w:history="1">
        <w:r w:rsidRPr="00393F54">
          <w:t>статті 1</w:t>
        </w:r>
      </w:hyperlink>
      <w:r w:rsidRPr="00393F54">
        <w:t>5  Закону України «Про статус ветеранів війни, гарантії їх соціального захисту»;</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rPr>
          <w:sz w:val="6"/>
          <w:szCs w:val="6"/>
          <w:shd w:val="clear" w:color="auto" w:fill="FFFFFF"/>
        </w:rPr>
      </w:pP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pPr>
      <w:r w:rsidRPr="00393F54">
        <w:t>особам, які мають особливі заслуги перед Батьківщиною відповідно до </w:t>
      </w:r>
      <w:hyperlink r:id="rId20" w:anchor="n195" w:tgtFrame="_blank" w:history="1">
        <w:r w:rsidRPr="00393F54">
          <w:t>статті 1</w:t>
        </w:r>
      </w:hyperlink>
      <w:r w:rsidRPr="00393F54">
        <w:t>6  Закону України «Про статус ветеранів війни, гарантії їх соціального захисту»;</w:t>
      </w: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rPr>
          <w:sz w:val="6"/>
          <w:szCs w:val="6"/>
        </w:rPr>
      </w:pP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pPr>
      <w:r w:rsidRPr="00393F54">
        <w:t>особам, які мають особливі трудові заслуги перед Батьківщиною відповідно до </w:t>
      </w:r>
      <w:hyperlink r:id="rId21" w:anchor="n195" w:tgtFrame="_blank" w:history="1">
        <w:r w:rsidRPr="00393F54">
          <w:t xml:space="preserve">статті </w:t>
        </w:r>
      </w:hyperlink>
      <w:r w:rsidRPr="00393F54">
        <w:t xml:space="preserve">9  Закону України «Про </w:t>
      </w:r>
      <w:r w:rsidRPr="00393F54">
        <w:rPr>
          <w:rStyle w:val="a3"/>
          <w:i w:val="0"/>
        </w:rPr>
        <w:t>основні засади соціального захисту ветеранів праці та інших громадян похилого віку в Україні</w:t>
      </w:r>
      <w:r w:rsidRPr="00393F54">
        <w:t>»;</w:t>
      </w:r>
    </w:p>
    <w:p w:rsidR="000F4DF6" w:rsidRPr="00393F54"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жертвам нацистських переслідувань; відповідно до </w:t>
      </w:r>
      <w:hyperlink r:id="rId22" w:anchor="n195" w:tgtFrame="_blank" w:history="1">
        <w:r w:rsidRPr="00393F54">
          <w:t xml:space="preserve">статті </w:t>
        </w:r>
      </w:hyperlink>
      <w:r w:rsidRPr="00393F54">
        <w:t>6  Закону України «Про жертви нацистських переслідувань»;</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України; ветеранам служби цивільного захисту, ветеранам Державної служби спеціального зв’язку та захисту інформації України відповідно до </w:t>
      </w:r>
      <w:hyperlink r:id="rId23" w:tgtFrame="_blank" w:history="1">
        <w:r w:rsidRPr="00393F54">
          <w:t>статті 6</w:t>
        </w:r>
      </w:hyperlink>
      <w:r w:rsidRPr="00393F54">
        <w:t>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вдовам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України, ветеранів служби цивільного захисту та ветеранів Державної служби спеціального зв’язку та захисту інформації України відповідно до </w:t>
      </w:r>
      <w:hyperlink r:id="rId24" w:tgtFrame="_blank" w:history="1">
        <w:r w:rsidRPr="00393F54">
          <w:t xml:space="preserve">статті </w:t>
        </w:r>
      </w:hyperlink>
      <w:r w:rsidRPr="00393F54">
        <w:t>7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особам,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lastRenderedPageBreak/>
        <w:t>учасникам ліквідації наслідків аварії на Чорнобильській АЕС, віднесених до категорії 2, відповідно до </w:t>
      </w:r>
      <w:hyperlink r:id="rId25" w:anchor="n247" w:tgtFrame="_blank" w:history="1">
        <w:r w:rsidRPr="00393F54">
          <w:t>статті 21</w:t>
        </w:r>
      </w:hyperlink>
      <w:r w:rsidRPr="00393F54">
        <w:t>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дітям, потерпілим від Чорнобильської катастрофи, яким встановлено інвалідність, пов’язану з Чорнобильською катастрофою, відповідно до </w:t>
      </w:r>
      <w:hyperlink r:id="rId26" w:anchor="n335" w:tgtFrame="_blank" w:history="1">
        <w:r w:rsidRPr="00393F54">
          <w:t>статті 30</w:t>
        </w:r>
      </w:hyperlink>
      <w:r w:rsidRPr="00393F54">
        <w:t>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rPr>
          <w:shd w:val="clear" w:color="auto" w:fill="FFFFFF"/>
        </w:rPr>
        <w:t>дружині (чоловіку) померлого громадянина, смерть якого пов'язана з Чорнобильською катастрофою, або опікуну (на час опікунства) дітей померлого</w:t>
      </w:r>
      <w:r w:rsidRPr="00393F54">
        <w:t>, відповідно до </w:t>
      </w:r>
      <w:hyperlink r:id="rId27" w:anchor="n335" w:tgtFrame="_blank" w:history="1">
        <w:r w:rsidRPr="00393F54">
          <w:t xml:space="preserve">статей </w:t>
        </w:r>
      </w:hyperlink>
      <w:r w:rsidRPr="00393F54">
        <w:t>20, 21, 22  Закону України «Про статус і соціальний захист громадян, які постраждали внаслідок Чорнобильської катастрофи»;</w:t>
      </w:r>
    </w:p>
    <w:p w:rsidR="000F4DF6" w:rsidRPr="00393F54" w:rsidRDefault="000F4DF6" w:rsidP="000F4DF6">
      <w:pPr>
        <w:shd w:val="clear" w:color="auto" w:fill="FFFFFF"/>
        <w:spacing w:after="150"/>
        <w:ind w:firstLine="450"/>
        <w:contextualSpacing/>
        <w:jc w:val="both"/>
        <w:rPr>
          <w:sz w:val="6"/>
          <w:szCs w:val="6"/>
        </w:rPr>
      </w:pPr>
    </w:p>
    <w:p w:rsidR="000F4DF6" w:rsidRPr="00393F54" w:rsidRDefault="000F4DF6" w:rsidP="000F4DF6">
      <w:pPr>
        <w:shd w:val="clear" w:color="auto" w:fill="FFFFFF"/>
        <w:spacing w:after="150"/>
        <w:ind w:firstLine="450"/>
        <w:contextualSpacing/>
        <w:jc w:val="both"/>
      </w:pPr>
      <w:r w:rsidRPr="00393F54">
        <w:t>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відповідно до </w:t>
      </w:r>
      <w:hyperlink r:id="rId28" w:anchor="n122" w:tgtFrame="_blank" w:history="1">
        <w:r w:rsidRPr="00393F54">
          <w:t>статті 13</w:t>
        </w:r>
      </w:hyperlink>
      <w:r w:rsidRPr="00393F54">
        <w:t> Закону України «Про охорону дитинства»;</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 xml:space="preserve">2.4. Право на пільги, визначені даним Положенням, мають особи, що відносяться до пільгових категорій, зазначених в пунктах 2.1., 2.2., 2.3., з числа зареєстрованих та фактично проживаючих мешканців </w:t>
      </w:r>
      <w:r w:rsidRPr="00393F54">
        <w:rPr>
          <w:lang w:val="uk-UA"/>
        </w:rPr>
        <w:t>Хмельницької міської територіальної громади</w:t>
      </w:r>
      <w:r w:rsidRPr="00393F54">
        <w:t xml:space="preserve">, включених до Єдиного державного автоматизованого реєстру осіб, які мають право на пільги в </w:t>
      </w:r>
      <w:r w:rsidRPr="00393F54">
        <w:rPr>
          <w:lang w:val="uk-UA"/>
        </w:rPr>
        <w:t>Хмельницькій міській територіальній громаді</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 xml:space="preserve">2.5. Право на  користування  пільговим  проїздом  в електротранспорті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 xml:space="preserve">2.6. 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w:t>
      </w:r>
      <w:r w:rsidRPr="00393F54">
        <w:rPr>
          <w:lang w:val="uk-UA"/>
        </w:rPr>
        <w:t xml:space="preserve">на маршрутах, </w:t>
      </w:r>
      <w:r w:rsidRPr="00393F54">
        <w:t>де замовником послуг з перевезення пасажирів виступає виконавчий  комітет Хмельницької міської ради</w:t>
      </w:r>
      <w:r w:rsidRPr="00393F54">
        <w:rPr>
          <w:lang w:val="uk-UA"/>
        </w:rPr>
        <w:t xml:space="preserve">, </w:t>
      </w:r>
      <w:r w:rsidRPr="00393F54">
        <w:t>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 xml:space="preserve">Виготовлення  електронних квитків для тих пасажирів, яким встановлено право на пільговий проїзд у громадському транспорті </w:t>
      </w:r>
      <w:r w:rsidRPr="00393F54">
        <w:rPr>
          <w:lang w:val="uk-UA"/>
        </w:rPr>
        <w:t>Хмельницької міської територіальної громади</w:t>
      </w:r>
      <w:r w:rsidRPr="00393F54">
        <w:t xml:space="preserve"> на  підставі  рішень  міської  ради та  відповідно до пункту 2.2., забезпечується за рахунок коштів </w:t>
      </w:r>
      <w:r w:rsidRPr="00393F54">
        <w:rPr>
          <w:lang w:val="uk-UA"/>
        </w:rPr>
        <w:t xml:space="preserve"> </w:t>
      </w:r>
      <w:r w:rsidRPr="00393F54">
        <w:t xml:space="preserve"> бюджету</w:t>
      </w:r>
      <w:r w:rsidRPr="00393F54">
        <w:rPr>
          <w:lang w:val="uk-UA"/>
        </w:rPr>
        <w:t xml:space="preserve"> Хмельницької міської територіальної громади</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2.7. Персоніфікований еле</w:t>
      </w:r>
      <w:r w:rsidRPr="00393F54">
        <w:rPr>
          <w:shd w:val="clear" w:color="auto" w:fill="FFFFFF"/>
        </w:rPr>
        <w:t xml:space="preserve">ктронний квиток  видається  безпосередньо пільговику на підставі документа що підтверджує особу, виконавчими </w:t>
      </w:r>
      <w:r w:rsidRPr="00393F54">
        <w:t>органами міської ради, управляючими муніципальними компаніями, комунальними підприємствами міста відповідно до розпорядження міського голови та на підставі відомості видачі та додатків, затверджених  наказом управління  праці та соціального захисту населення.</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Персоніфікований еле</w:t>
      </w:r>
      <w:r w:rsidRPr="00393F54">
        <w:rPr>
          <w:shd w:val="clear" w:color="auto" w:fill="FFFFFF"/>
        </w:rPr>
        <w:t xml:space="preserve">ктронний квиток видається на безоплатній основі мешканцям </w:t>
      </w:r>
      <w:r w:rsidRPr="00393F54">
        <w:rPr>
          <w:shd w:val="clear" w:color="auto" w:fill="FFFFFF"/>
          <w:lang w:val="uk-UA"/>
        </w:rPr>
        <w:t>Хмельницької міської територіальної громади</w:t>
      </w:r>
      <w:r w:rsidRPr="00393F54">
        <w:rPr>
          <w:shd w:val="clear" w:color="auto" w:fill="FFFFFF"/>
        </w:rPr>
        <w:t xml:space="preserve">, які зареєстровані в </w:t>
      </w:r>
      <w:r w:rsidRPr="00393F54">
        <w:t xml:space="preserve">Єдиному державному автоматизованому реєстрі осіб та мають право на пільги в </w:t>
      </w:r>
      <w:r w:rsidRPr="00393F54">
        <w:rPr>
          <w:lang w:val="uk-UA"/>
        </w:rPr>
        <w:t>Хмельницькій міській територіальній громаді</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hd w:val="clear" w:color="auto" w:fill="FFFFFF"/>
        </w:rPr>
      </w:pPr>
      <w:r w:rsidRPr="00393F54">
        <w:t>2.8. Особа (єдиний оператор), уповноважена на впровадження автоматизованої системи обліку оплати проїзду в пасажирському транспорті загального  користування</w:t>
      </w:r>
      <w:r w:rsidRPr="00393F54">
        <w:rPr>
          <w:lang w:val="uk-UA"/>
        </w:rPr>
        <w:t xml:space="preserve"> на маршрутах, </w:t>
      </w:r>
      <w:r w:rsidRPr="00393F54">
        <w:t>де замовником послуг з перевезення пасажирів виступає виконавчий  комітет Хмельницької міської ради</w:t>
      </w:r>
      <w:r w:rsidRPr="00393F54">
        <w:rPr>
          <w:lang w:val="uk-UA"/>
        </w:rPr>
        <w:t>,</w:t>
      </w:r>
      <w:r w:rsidRPr="00393F54">
        <w:t xml:space="preserve">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w:t>
      </w:r>
      <w:r w:rsidRPr="00393F54">
        <w:lastRenderedPageBreak/>
        <w:t>еле</w:t>
      </w:r>
      <w:r w:rsidRPr="00393F54">
        <w:rPr>
          <w:shd w:val="clear" w:color="auto" w:fill="FFFFFF"/>
        </w:rPr>
        <w:t xml:space="preserve">ктронного квитка у разі смерті пільговика, зміни місця проживання, втрати статуса, пошкодження, тощо та можливості відновлення його.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hd w:val="clear" w:color="auto" w:fill="FFFFFF"/>
        </w:rPr>
      </w:pPr>
      <w:r w:rsidRPr="00393F54">
        <w:rPr>
          <w:shd w:val="clear" w:color="auto" w:fill="FFFFFF"/>
        </w:rPr>
        <w:t>Також управління праці та соціального захисту населення має бути забезпечено електронними квитками без зазначення персоніфікованих даних, як на платній так і на безоплатній основі, для можливості заповнення їх та видачі у разі нових звернень пільговиків та у разі їх втрати чи пошкодження.</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hd w:val="clear" w:color="auto" w:fill="FFFFFF"/>
        </w:rPr>
      </w:pP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center"/>
        <w:textAlignment w:val="baseline"/>
        <w:rPr>
          <w:b/>
          <w:lang w:val="ru-RU"/>
        </w:rPr>
      </w:pPr>
      <w:r w:rsidRPr="00393F54">
        <w:rPr>
          <w:b/>
        </w:rPr>
        <w:t>3. Порядок проведення  розрахунків</w:t>
      </w:r>
      <w:r w:rsidRPr="00393F54">
        <w:rPr>
          <w:b/>
          <w:lang w:val="ru-RU"/>
        </w:rPr>
        <w:t xml:space="preserve"> за надані пільги</w:t>
      </w:r>
      <w:r w:rsidRPr="00393F54">
        <w:rPr>
          <w:lang w:val="ru-RU"/>
        </w:rPr>
        <w:t xml:space="preserve"> </w:t>
      </w:r>
      <w:r w:rsidRPr="00393F54">
        <w:rPr>
          <w:b/>
        </w:rPr>
        <w:t>на послуги зв’</w:t>
      </w:r>
      <w:r w:rsidRPr="00393F54">
        <w:rPr>
          <w:b/>
          <w:lang w:val="ru-RU"/>
        </w:rPr>
        <w:t>язку та інші  передбачені  законодавством пільги</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pPr>
      <w:r w:rsidRPr="00393F54">
        <w:t>3.1. Відшкодування коштів організаціям за надані пільги на послуги  зв’язку,  інші передбачені законодавством пільги проводить управління праці та соціального захисту  населення згідно цього Положення, за кошти бюджету</w:t>
      </w:r>
      <w:r w:rsidRPr="00393F54">
        <w:rPr>
          <w:lang w:val="uk-UA"/>
        </w:rPr>
        <w:t xml:space="preserve"> Хмельницької міської територіальної громади</w:t>
      </w:r>
      <w:r w:rsidRPr="00393F54">
        <w:t xml:space="preserve">, на підставі договорів, актів та розрахунків наданих  організаціями, що надають послуги особам, що мають право на пільги з числа зареєстрованих в Єдиному державному автоматизованому реєстрі осіб, які мають право на пільги  в </w:t>
      </w:r>
      <w:r w:rsidRPr="00393F54">
        <w:rPr>
          <w:lang w:val="uk-UA"/>
        </w:rPr>
        <w:t>Хмельницькій міській територіальній громаді</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3.2. Управління праці та соціального захисту  населення щомісячно до 10 числа отримує від організацій – надавачів послуг зв’язку розрахунки, що підлягають відшкодуванню за попередній місяць, форму «2-пільга», затверджену Наказом Міністерства праці та соціальної політики України від 04.10.2007 року № 535, а також  акт звіряння розрахунків за надані  населенню послуги, на які надаються пільги (форму № 3-пільга - затверджену Наказом Міністерства праці та соціальної політики України від 28.03.2003 року № 83).</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393F54">
        <w:t>3.3. Надавачі послуг зв’язку несуть персональну відповідальність за достовірність наданих розрахунків.</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393F54">
        <w:t>3.4. Управління праці та соціального захисту населення   проводить звірку з Єдиним державним автоматизованим реєстром осіб, які мають право на пільги, відповідно до наданих документів для відшкодування за надані пільги на послуги  зв’язку, інші передбачені законодавством пільги.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8"/>
        <w:jc w:val="both"/>
        <w:textAlignment w:val="baseline"/>
      </w:pPr>
      <w:r w:rsidRPr="00393F54">
        <w:t>3.5. При надходженні фінансування управління праці та соціального захисту  населення  проводить відшкодування коштів за надані пільги на послуги  зв’язку, інші передбачені законодавством пільги, в межах одержаних коштів, на розрахункові рахунки організацій – надавачів послуг.</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center"/>
        <w:textAlignment w:val="baseline"/>
        <w:rPr>
          <w:b/>
          <w:lang w:val="ru-RU"/>
        </w:rPr>
      </w:pPr>
      <w:r w:rsidRPr="00393F54">
        <w:rPr>
          <w:b/>
        </w:rPr>
        <w:t>4. Порядок проведення  розрахунків</w:t>
      </w:r>
      <w:r w:rsidRPr="00393F54">
        <w:rPr>
          <w:b/>
          <w:lang w:val="ru-RU"/>
        </w:rPr>
        <w:t xml:space="preserve"> </w:t>
      </w:r>
      <w:r w:rsidRPr="00393F54">
        <w:rPr>
          <w:b/>
        </w:rPr>
        <w:t>компенсаційних виплат за пільговий  проїзд окремих категорій громадян в електротранспорті</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 xml:space="preserve">4.1.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w:t>
      </w:r>
      <w:r w:rsidRPr="00393F54">
        <w:rPr>
          <w:lang w:val="uk-UA"/>
        </w:rPr>
        <w:t xml:space="preserve"> </w:t>
      </w:r>
      <w:r w:rsidRPr="00393F54">
        <w:t xml:space="preserve"> згідно цього Положення, за кошти </w:t>
      </w:r>
      <w:r w:rsidRPr="00393F54">
        <w:rPr>
          <w:lang w:val="uk-UA"/>
        </w:rPr>
        <w:t xml:space="preserve"> </w:t>
      </w:r>
      <w:r w:rsidRPr="00393F54">
        <w:t>бюджету</w:t>
      </w:r>
      <w:r w:rsidRPr="00393F54">
        <w:rPr>
          <w:lang w:val="uk-UA"/>
        </w:rPr>
        <w:t xml:space="preserve"> Хмельницької міської територіальної громади</w:t>
      </w:r>
      <w:r w:rsidRPr="00393F54">
        <w:t xml:space="preserve">,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w:t>
      </w:r>
      <w:r w:rsidRPr="00393F54">
        <w:rPr>
          <w:lang w:val="uk-UA"/>
        </w:rPr>
        <w:t>Хмельницької міської територіальної громади</w:t>
      </w:r>
      <w:r w:rsidRPr="00393F54">
        <w:t xml:space="preserve">, включених до Єдиного державного автоматизованого реєстру осіб, які мають право на пільги в </w:t>
      </w:r>
      <w:r w:rsidRPr="00393F54">
        <w:rPr>
          <w:lang w:val="uk-UA"/>
        </w:rPr>
        <w:t>Хмельницькій міській територіальній громаді</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393F54">
        <w:t xml:space="preserve">4.2. </w:t>
      </w:r>
      <w:r w:rsidRPr="00393F54">
        <w:rPr>
          <w:lang w:val="uk-UA"/>
        </w:rPr>
        <w:t>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 83).</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rPr>
          <w:lang w:val="uk-UA"/>
        </w:rPr>
        <w:lastRenderedPageBreak/>
        <w:t xml:space="preserve">4.3. </w:t>
      </w:r>
      <w:r w:rsidRPr="00393F54">
        <w:t>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rsidR="000F4DF6" w:rsidRPr="00393F54" w:rsidRDefault="000F4DF6" w:rsidP="000F4DF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188" w:lineRule="atLeast"/>
        <w:ind w:right="15" w:firstLine="708"/>
        <w:jc w:val="both"/>
        <w:rPr>
          <w:lang w:val="uk-UA"/>
        </w:rPr>
      </w:pPr>
      <w:r w:rsidRPr="00393F54">
        <w:rPr>
          <w:lang w:val="uk-UA"/>
        </w:rPr>
        <w:t>4.4. При розрахунку обсягів компенсаційних  виплат за пільговий проїзд  в електротранспорті застосовується коефіцієнт співвідношення кількості безоплатно перевезених пасажирів з числа зареєстрованих мешканців Хмельницької міської територіальної громади, до пасажирів що оплачують проїзд з числа зареєстрованих мешканців Хмельницької міської територіальної громади. Визначення коефіцієнту  співвідношення  кількості безоплатно перевезених пасажирів і пасажирів, що оплачують проїзд  проводиться комісією шляхом обстеження пасажиропотоку.</w:t>
      </w:r>
      <w:r w:rsidRPr="00393F54">
        <w:rPr>
          <w:shd w:val="clear" w:color="auto" w:fill="FFFFFF"/>
          <w:lang w:val="uk-UA"/>
        </w:rPr>
        <w:t xml:space="preserve"> Склад комісії для встановлення  коефіцієнтів співвідношення кількості безплатних пасажирів до платних на маршрутах, </w:t>
      </w:r>
      <w:r w:rsidRPr="00393F54">
        <w:rPr>
          <w:lang w:val="uk-UA"/>
        </w:rPr>
        <w:t xml:space="preserve">де замовником послуг з перевезення пасажирів виступає виконавчий  комітет Хмельницької міської ради,  </w:t>
      </w:r>
      <w:r w:rsidRPr="00393F54">
        <w:rPr>
          <w:shd w:val="clear" w:color="auto" w:fill="FFFFFF"/>
          <w:lang w:val="uk-UA"/>
        </w:rPr>
        <w:t xml:space="preserve">затверджується рішенням виконавчого комітету </w:t>
      </w:r>
      <w:r w:rsidRPr="00393F54">
        <w:rPr>
          <w:lang w:val="uk-UA"/>
        </w:rPr>
        <w:t>Хмельницької міської ради. Результати обстеження  та коефіцієнти затверджуються  рішенням виконавчого комітету Хмельницької міської ради.</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393F54">
        <w:t>4.5. Управління праці та соціального захисту населення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8"/>
        <w:jc w:val="both"/>
        <w:textAlignment w:val="baseline"/>
        <w:rPr>
          <w:b/>
        </w:rPr>
      </w:pPr>
      <w:r w:rsidRPr="00393F54">
        <w:t>4.6.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в межах одержаних коштів, на розрахункові рахунки організацій – надавачів послуг.</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center"/>
        <w:textAlignment w:val="baseline"/>
        <w:rPr>
          <w:b/>
        </w:rPr>
      </w:pP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center"/>
        <w:textAlignment w:val="baseline"/>
        <w:rPr>
          <w:b/>
          <w:lang w:val="ru-RU"/>
        </w:rPr>
      </w:pPr>
      <w:r w:rsidRPr="00393F54">
        <w:rPr>
          <w:b/>
        </w:rPr>
        <w:t>5. Порядок проведення  розрахунків</w:t>
      </w:r>
      <w:r w:rsidRPr="00393F54">
        <w:rPr>
          <w:b/>
          <w:lang w:val="ru-RU"/>
        </w:rPr>
        <w:t xml:space="preserve"> </w:t>
      </w:r>
      <w:r w:rsidRPr="00393F54">
        <w:rPr>
          <w:b/>
        </w:rPr>
        <w:t>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 xml:space="preserve">5.1.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w:t>
      </w:r>
      <w:r w:rsidRPr="00393F54">
        <w:rPr>
          <w:lang w:val="uk-UA"/>
        </w:rPr>
        <w:t xml:space="preserve"> </w:t>
      </w:r>
      <w:r w:rsidRPr="00393F54">
        <w:t xml:space="preserve"> згідно цього Положення, за кошти </w:t>
      </w:r>
      <w:r w:rsidRPr="00393F54">
        <w:rPr>
          <w:lang w:val="uk-UA"/>
        </w:rPr>
        <w:t xml:space="preserve"> </w:t>
      </w:r>
      <w:r w:rsidRPr="00393F54">
        <w:t>бюджету</w:t>
      </w:r>
      <w:r w:rsidRPr="00393F54">
        <w:rPr>
          <w:lang w:val="uk-UA"/>
        </w:rPr>
        <w:t xml:space="preserve"> Хмельницької міської територіальної громади</w:t>
      </w:r>
      <w:r w:rsidRPr="00393F54">
        <w:t xml:space="preserve">,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w:t>
      </w:r>
      <w:r w:rsidRPr="00393F54">
        <w:rPr>
          <w:lang w:val="uk-UA"/>
        </w:rPr>
        <w:t>Хмельницької міської територіальної громади</w:t>
      </w:r>
      <w:r w:rsidRPr="00393F54">
        <w:t xml:space="preserve">, включених до Єдиного державного автоматизованого реєстру осіб, які мають право на пільги в </w:t>
      </w:r>
      <w:r w:rsidRPr="00393F54">
        <w:rPr>
          <w:lang w:val="uk-UA"/>
        </w:rPr>
        <w:t>Хмельницькій міській територіальній громаді</w:t>
      </w:r>
      <w:r w:rsidRPr="00393F54">
        <w:t xml:space="preserve">.  </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 xml:space="preserve">5.2. Управління праці та соціального захисту населення щомісячно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w:t>
      </w:r>
      <w:r w:rsidRPr="00393F54">
        <w:rPr>
          <w:lang w:val="uk-UA"/>
        </w:rPr>
        <w:t xml:space="preserve">на маршрутах,  </w:t>
      </w:r>
      <w:r w:rsidRPr="00393F54">
        <w:t>де замовником послуг з перевезення пасажирів виступає виконавчий  комітет Хмельницької міської ради</w:t>
      </w:r>
      <w:r w:rsidRPr="00393F54">
        <w:rPr>
          <w:lang w:val="uk-UA"/>
        </w:rPr>
        <w:t>,</w:t>
      </w:r>
      <w:r w:rsidRPr="00393F54">
        <w:t xml:space="preserve">  та здійснення справляння плати за транспортні послуги </w:t>
      </w:r>
      <w:r w:rsidRPr="00393F54">
        <w:rPr>
          <w:lang w:val="uk-UA"/>
        </w:rPr>
        <w:t>в Хмельницькій міській територіальній громаді</w:t>
      </w:r>
      <w:r w:rsidRPr="00393F54">
        <w:t xml:space="preserve">, дані про осіб, включених до Єдиного державного автоматизованого реєстру осіб, які мають право на пільги в </w:t>
      </w:r>
      <w:r w:rsidRPr="00393F54">
        <w:rPr>
          <w:lang w:val="uk-UA"/>
        </w:rPr>
        <w:t>Хмельницькій міській територіальній громаді</w:t>
      </w:r>
      <w:r w:rsidRPr="00393F54">
        <w:t>,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393F54">
        <w:t>5.3.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w:t>
      </w:r>
      <w:r w:rsidRPr="00393F54">
        <w:rPr>
          <w:lang w:val="uk-UA"/>
        </w:rPr>
        <w:t xml:space="preserve"> на маршрутах, </w:t>
      </w:r>
      <w:r w:rsidRPr="00393F54">
        <w:t>де замовником послуг з перевезення пасажирів виступає виконавчий  комітет Хмельницької міської ради</w:t>
      </w:r>
      <w:r w:rsidRPr="00393F54">
        <w:rPr>
          <w:lang w:val="uk-UA"/>
        </w:rPr>
        <w:t>,</w:t>
      </w:r>
      <w:r w:rsidRPr="00393F54">
        <w:t xml:space="preserve"> та здійснення справляння плати за транспортні послуги </w:t>
      </w:r>
      <w:r w:rsidRPr="00393F54">
        <w:rPr>
          <w:lang w:val="uk-UA"/>
        </w:rPr>
        <w:t>в Хмельницькій міській територіальній громаді</w:t>
      </w:r>
      <w:r w:rsidRPr="00393F54">
        <w:t xml:space="preserve">  окремі договори  щодо  обліку пільгового проїзду у громадському транспорті, можливість проведення взаємозвірок  стосовно перевезення пільгових  категорій пасажирів, створення та надання доступу до </w:t>
      </w:r>
      <w:r w:rsidRPr="00393F54">
        <w:lastRenderedPageBreak/>
        <w:t>програмної частини АСООП «Кабінет користувача», надання, встановлення та користування  обладнанням  АСООП.</w:t>
      </w:r>
    </w:p>
    <w:p w:rsidR="000F4DF6" w:rsidRPr="00393F54"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393F54">
        <w:t xml:space="preserve">5.4. </w:t>
      </w:r>
      <w:r w:rsidRPr="00393F54">
        <w:rPr>
          <w:lang w:val="uk-UA"/>
        </w:rPr>
        <w:t>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створені на підставі даних</w:t>
      </w:r>
      <w:r w:rsidRPr="00393F54">
        <w:rPr>
          <w:shd w:val="clear" w:color="auto" w:fill="FFFFFF"/>
          <w:lang w:val="uk-UA"/>
        </w:rPr>
        <w:t xml:space="preserve"> автоматизованої системи обліку оплати проїзду</w:t>
      </w:r>
      <w:r w:rsidRPr="00393F54">
        <w:rPr>
          <w:lang w:val="uk-UA"/>
        </w:rPr>
        <w:t xml:space="preserve">,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Розрахунок обсягу компенсаційних  виплат за пільговий  проїзд  в електротранспорті виконується на підставі даних </w:t>
      </w:r>
      <w:r w:rsidRPr="00393F54">
        <w:rPr>
          <w:shd w:val="clear" w:color="auto" w:fill="FFFFFF"/>
          <w:lang w:val="uk-UA"/>
        </w:rPr>
        <w:t xml:space="preserve">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 </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rPr>
          <w:shd w:val="clear" w:color="auto" w:fill="FFFFFF"/>
        </w:rPr>
      </w:pPr>
      <w:r w:rsidRPr="00393F54">
        <w:t xml:space="preserve">5.5. Особа (єдиний оператор), уповноваженої на впровадження </w:t>
      </w:r>
      <w:r w:rsidRPr="00393F54">
        <w:rPr>
          <w:lang w:eastAsia="ru-RU"/>
        </w:rPr>
        <w:t xml:space="preserve">автоматизованої системи обліку оплати проїзду в пасажирському транспорті загального користування на маршрутах, </w:t>
      </w:r>
      <w:r w:rsidRPr="00393F54">
        <w:t xml:space="preserve">де замовником послуг з перевезення пасажирів виступає виконавчий  комітет Хмельницької міської ради, </w:t>
      </w:r>
      <w:r w:rsidRPr="00393F54">
        <w:rPr>
          <w:lang w:eastAsia="ru-RU"/>
        </w:rPr>
        <w:t>та</w:t>
      </w:r>
      <w:r w:rsidRPr="00393F54">
        <w:t xml:space="preserve"> здійснення справляння плати за транспортні послуги в Хмельницькій міській територіальній громаді</w:t>
      </w:r>
      <w:r w:rsidRPr="00393F54">
        <w:rPr>
          <w:shd w:val="clear" w:color="auto" w:fill="FFFFFF"/>
        </w:rPr>
        <w:t>,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393F54">
        <w:t>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393F54">
        <w:t>5.6. Управління праці та соціального захисту населення  протягом двох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0F4DF6" w:rsidRPr="00393F54" w:rsidRDefault="000F4DF6" w:rsidP="000F4DF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8"/>
        <w:jc w:val="both"/>
        <w:textAlignment w:val="baseline"/>
      </w:pPr>
      <w:r w:rsidRPr="00393F54">
        <w:t>5.7.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на маршрутах, де замовником послуг з перевезення пасажирів виступає виконавчий  комітет Хмельницької міської ради, в межах одержаних коштів, на розрахункові  рахунки  організацій – надавачів послуг.</w:t>
      </w:r>
    </w:p>
    <w:p w:rsidR="000F4DF6" w:rsidRPr="00561215"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561215">
        <w:rPr>
          <w:lang w:val="uk-UA"/>
        </w:rPr>
        <w:t xml:space="preserve">            </w:t>
      </w:r>
    </w:p>
    <w:p w:rsidR="000F4DF6" w:rsidRPr="00561215"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0F4DF6" w:rsidRPr="00561215"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561215">
        <w:rPr>
          <w:lang w:val="uk-UA"/>
        </w:rPr>
        <w:tab/>
      </w:r>
    </w:p>
    <w:p w:rsidR="000F4DF6" w:rsidRDefault="000F4DF6" w:rsidP="000F4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1215">
        <w:rPr>
          <w:lang w:val="uk-UA"/>
        </w:rPr>
        <w:tab/>
      </w:r>
      <w:r>
        <w:t xml:space="preserve">Керуючий справами </w:t>
      </w:r>
    </w:p>
    <w:p w:rsidR="000F4DF6" w:rsidRPr="001B66D3"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lang w:val="uk-UA"/>
        </w:rPr>
      </w:pPr>
      <w:r>
        <w:t xml:space="preserve">виконавчого комітету                                      </w:t>
      </w:r>
      <w:r>
        <w:tab/>
      </w:r>
      <w:r>
        <w:tab/>
      </w:r>
      <w:r>
        <w:tab/>
        <w:t>Ю. САБІЙ</w:t>
      </w:r>
    </w:p>
    <w:p w:rsidR="000F4DF6"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0F4DF6"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0F4DF6"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pPr>
      <w:r>
        <w:t xml:space="preserve">Начальник управління праці та   </w:t>
      </w:r>
    </w:p>
    <w:p w:rsidR="000F4DF6"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pPr>
      <w:r>
        <w:t xml:space="preserve">соціального захисту населення                           </w:t>
      </w:r>
      <w:r>
        <w:tab/>
      </w:r>
      <w:r>
        <w:tab/>
      </w:r>
      <w:r>
        <w:tab/>
        <w:t>С. В</w:t>
      </w:r>
      <w:r>
        <w:rPr>
          <w:lang w:val="uk-UA"/>
        </w:rPr>
        <w:t>ОРОНЕЦЬКИЙ</w:t>
      </w:r>
      <w:r>
        <w:t xml:space="preserve">      </w:t>
      </w:r>
    </w:p>
    <w:p w:rsidR="000F4DF6" w:rsidRDefault="000F4DF6" w:rsidP="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F4DF6" w:rsidRDefault="000F4DF6" w:rsidP="000F4DF6">
      <w:pPr>
        <w:tabs>
          <w:tab w:val="left" w:pos="702"/>
        </w:tabs>
        <w:ind w:left="-720" w:firstLine="720"/>
        <w:jc w:val="both"/>
      </w:pPr>
      <w:r>
        <w:tab/>
        <w:t>В.о. начальника управління</w:t>
      </w:r>
    </w:p>
    <w:p w:rsidR="000F4DF6" w:rsidRPr="00AE19E1" w:rsidRDefault="000F4DF6" w:rsidP="000F4DF6">
      <w:pPr>
        <w:tabs>
          <w:tab w:val="left" w:pos="702"/>
        </w:tabs>
        <w:ind w:left="-720" w:firstLine="720"/>
        <w:jc w:val="both"/>
        <w:rPr>
          <w:color w:val="000000"/>
          <w:lang w:val="uk-UA"/>
        </w:rPr>
      </w:pPr>
      <w:r>
        <w:tab/>
        <w:t>транспорту та зв’язку</w:t>
      </w:r>
      <w:r>
        <w:tab/>
      </w:r>
      <w:r>
        <w:tab/>
      </w:r>
      <w:r>
        <w:tab/>
      </w:r>
      <w:r>
        <w:tab/>
      </w:r>
      <w:r>
        <w:tab/>
      </w:r>
      <w:r>
        <w:tab/>
        <w:t xml:space="preserve">     С. Ш</w:t>
      </w:r>
      <w:r>
        <w:rPr>
          <w:lang w:val="uk-UA"/>
        </w:rPr>
        <w:t>ЕПУРЕВ</w:t>
      </w:r>
    </w:p>
    <w:p w:rsidR="00ED2748" w:rsidRPr="000F4DF6" w:rsidRDefault="00ED2748">
      <w:pPr>
        <w:rPr>
          <w:lang w:val="uk-UA"/>
        </w:rPr>
      </w:pPr>
      <w:bookmarkStart w:id="10" w:name="_GoBack"/>
      <w:bookmarkEnd w:id="10"/>
    </w:p>
    <w:sectPr w:rsidR="00ED2748" w:rsidRPr="000F4DF6" w:rsidSect="002641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F6"/>
    <w:rsid w:val="000F4DF6"/>
    <w:rsid w:val="00ED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4C1EE-85E7-448B-A1EC-95C8461D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rsid w:val="000F4DF6"/>
    <w:pPr>
      <w:suppressAutoHyphens/>
      <w:spacing w:before="100" w:after="100" w:line="240" w:lineRule="auto"/>
    </w:pPr>
    <w:rPr>
      <w:rFonts w:ascii="Times New Roman" w:eastAsia="SimSun" w:hAnsi="Times New Roman" w:cs="Mangal"/>
      <w:kern w:val="1"/>
      <w:sz w:val="24"/>
      <w:szCs w:val="24"/>
      <w:lang w:val="uk-UA" w:eastAsia="uk-UA" w:bidi="hi-IN"/>
    </w:rPr>
  </w:style>
  <w:style w:type="character" w:styleId="a3">
    <w:name w:val="Emphasis"/>
    <w:qFormat/>
    <w:rsid w:val="000F4DF6"/>
    <w:rPr>
      <w:i/>
      <w:iCs/>
    </w:rPr>
  </w:style>
  <w:style w:type="paragraph" w:styleId="HTML">
    <w:name w:val="HTML Preformatted"/>
    <w:basedOn w:val="a"/>
    <w:link w:val="HTML0"/>
    <w:uiPriority w:val="99"/>
    <w:rsid w:val="000F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0F4DF6"/>
    <w:rPr>
      <w:rFonts w:ascii="Courier New" w:eastAsia="Times New Roman" w:hAnsi="Courier New" w:cs="Times New Roman"/>
      <w:sz w:val="20"/>
      <w:szCs w:val="20"/>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5"/>
    <w:uiPriority w:val="99"/>
    <w:unhideWhenUsed/>
    <w:rsid w:val="000F4DF6"/>
    <w:pPr>
      <w:spacing w:before="100" w:beforeAutospacing="1" w:after="100" w:afterAutospacing="1"/>
    </w:pPr>
  </w:style>
  <w:style w:type="paragraph" w:customStyle="1" w:styleId="normalwebcxsplast">
    <w:name w:val="normalwebcxsplast"/>
    <w:basedOn w:val="a"/>
    <w:rsid w:val="000F4DF6"/>
    <w:pPr>
      <w:spacing w:before="100" w:beforeAutospacing="1" w:after="100" w:afterAutospacing="1"/>
    </w:p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F4D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3551-12" TargetMode="External"/><Relationship Id="rId13" Type="http://schemas.openxmlformats.org/officeDocument/2006/relationships/hyperlink" Target="http://zakon.rada.gov.ua/laws/show/2011-12" TargetMode="External"/><Relationship Id="rId18" Type="http://schemas.openxmlformats.org/officeDocument/2006/relationships/hyperlink" Target="http://zakon.rada.gov.ua/laws/show/3551-12" TargetMode="External"/><Relationship Id="rId26" Type="http://schemas.openxmlformats.org/officeDocument/2006/relationships/hyperlink" Target="http://zakon.rada.gov.ua/laws/show/796-12" TargetMode="External"/><Relationship Id="rId3" Type="http://schemas.openxmlformats.org/officeDocument/2006/relationships/webSettings" Target="webSettings.xml"/><Relationship Id="rId21" Type="http://schemas.openxmlformats.org/officeDocument/2006/relationships/hyperlink" Target="http://zakon.rada.gov.ua/laws/show/3551-12" TargetMode="External"/><Relationship Id="rId7" Type="http://schemas.openxmlformats.org/officeDocument/2006/relationships/hyperlink" Target="http://zakon.rada.gov.ua/laws/show/3551-12" TargetMode="External"/><Relationship Id="rId12" Type="http://schemas.openxmlformats.org/officeDocument/2006/relationships/hyperlink" Target="http://zakon.rada.gov.ua/laws/show/203/98-%D0%B2%D1%80" TargetMode="External"/><Relationship Id="rId17" Type="http://schemas.openxmlformats.org/officeDocument/2006/relationships/hyperlink" Target="http://zakon.rada.gov.ua/laws/show/3551-12" TargetMode="External"/><Relationship Id="rId25" Type="http://schemas.openxmlformats.org/officeDocument/2006/relationships/hyperlink" Target="http://zakon.rada.gov.ua/laws/show/796-12" TargetMode="External"/><Relationship Id="rId2" Type="http://schemas.openxmlformats.org/officeDocument/2006/relationships/settings" Target="settings.xml"/><Relationship Id="rId16" Type="http://schemas.openxmlformats.org/officeDocument/2006/relationships/hyperlink" Target="http://zakon.rada.gov.ua/laws/show/3551-12" TargetMode="External"/><Relationship Id="rId20" Type="http://schemas.openxmlformats.org/officeDocument/2006/relationships/hyperlink" Target="http://zakon.rada.gov.ua/laws/show/3551-1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rada.gov.ua/laws/show/796-12" TargetMode="External"/><Relationship Id="rId11" Type="http://schemas.openxmlformats.org/officeDocument/2006/relationships/hyperlink" Target="http://zakon.rada.gov.ua/laws/show/2402-14" TargetMode="External"/><Relationship Id="rId24" Type="http://schemas.openxmlformats.org/officeDocument/2006/relationships/hyperlink" Target="http://zakon.rada.gov.ua/laws/show/203/98-%D0%B2%D1%80" TargetMode="External"/><Relationship Id="rId5" Type="http://schemas.openxmlformats.org/officeDocument/2006/relationships/hyperlink" Target="http://zakon.rada.gov.ua/laws/show/796-12" TargetMode="External"/><Relationship Id="rId15" Type="http://schemas.openxmlformats.org/officeDocument/2006/relationships/hyperlink" Target="http://zakon.rada.gov.ua/laws/show/962-12" TargetMode="External"/><Relationship Id="rId23" Type="http://schemas.openxmlformats.org/officeDocument/2006/relationships/hyperlink" Target="http://zakon.rada.gov.ua/laws/show/203/98-%D0%B2%D1%80" TargetMode="External"/><Relationship Id="rId28" Type="http://schemas.openxmlformats.org/officeDocument/2006/relationships/hyperlink" Target="http://zakon.rada.gov.ua/laws/show/2402-14" TargetMode="External"/><Relationship Id="rId10" Type="http://schemas.openxmlformats.org/officeDocument/2006/relationships/hyperlink" Target="http://zakon.rada.gov.ua/laws/show/3551-12" TargetMode="External"/><Relationship Id="rId19" Type="http://schemas.openxmlformats.org/officeDocument/2006/relationships/hyperlink" Target="http://zakon.rada.gov.ua/laws/show/3551-12" TargetMode="External"/><Relationship Id="rId4" Type="http://schemas.openxmlformats.org/officeDocument/2006/relationships/hyperlink" Target="http://zakon2.rada.gov.ua/laws/show/1914-15" TargetMode="External"/><Relationship Id="rId9" Type="http://schemas.openxmlformats.org/officeDocument/2006/relationships/hyperlink" Target="http://zakon.rada.gov.ua/laws/show/3551-12" TargetMode="External"/><Relationship Id="rId14" Type="http://schemas.openxmlformats.org/officeDocument/2006/relationships/hyperlink" Target="http://zakon.rada.gov.ua/laws/show/875-12" TargetMode="External"/><Relationship Id="rId22" Type="http://schemas.openxmlformats.org/officeDocument/2006/relationships/hyperlink" Target="http://zakon.rada.gov.ua/laws/show/3551-12" TargetMode="External"/><Relationship Id="rId27" Type="http://schemas.openxmlformats.org/officeDocument/2006/relationships/hyperlink" Target="http://zakon.rada.gov.ua/laws/show/796-1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3924</Words>
  <Characters>22369</Characters>
  <Application>Microsoft Office Word</Application>
  <DocSecurity>0</DocSecurity>
  <Lines>186</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1</cp:revision>
  <dcterms:created xsi:type="dcterms:W3CDTF">2020-12-30T09:58:00Z</dcterms:created>
  <dcterms:modified xsi:type="dcterms:W3CDTF">2020-12-30T09:59:00Z</dcterms:modified>
</cp:coreProperties>
</file>