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D3577B">
        <w:rPr>
          <w:rFonts w:ascii="Times New Roman" w:hAnsi="Times New Roman" w:cs="Times New Roman"/>
          <w:sz w:val="24"/>
          <w:szCs w:val="24"/>
        </w:rPr>
        <w:t xml:space="preserve"> затвердження переліку мікропрое</w:t>
      </w:r>
      <w:r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  <w:r w:rsidR="008B6698">
        <w:rPr>
          <w:rFonts w:ascii="Times New Roman" w:hAnsi="Times New Roman" w:cs="Times New Roman"/>
          <w:sz w:val="24"/>
          <w:szCs w:val="24"/>
        </w:rPr>
        <w:t xml:space="preserve"> </w:t>
      </w:r>
      <w:r w:rsidRPr="00AC3914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</w:p>
    <w:p w:rsid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F81AA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 громадських ініціатив, спрямованих на акумуляцію ресурсів міської влади</w:t>
      </w:r>
      <w:r w:rsidR="008B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громади та громадськості для створення базисів сталого соціально-економічного розвитку громади та/або вирішення конкретних проблем, що його стримують, відповідно до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5C4A2D">
        <w:rPr>
          <w:rFonts w:ascii="Times New Roman" w:hAnsi="Times New Roman" w:cs="Times New Roman"/>
          <w:sz w:val="24"/>
          <w:szCs w:val="24"/>
        </w:rPr>
        <w:t xml:space="preserve">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</w:t>
      </w:r>
      <w:r w:rsidR="00195E6D">
        <w:rPr>
          <w:rFonts w:ascii="Times New Roman" w:hAnsi="Times New Roman" w:cs="Times New Roman"/>
          <w:sz w:val="24"/>
          <w:szCs w:val="24"/>
        </w:rPr>
        <w:t>ню одержувачів бюджетних коштів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D3577B">
        <w:rPr>
          <w:rFonts w:ascii="Times New Roman" w:hAnsi="Times New Roman" w:cs="Times New Roman"/>
          <w:sz w:val="24"/>
          <w:szCs w:val="24"/>
        </w:rPr>
        <w:t>від 15</w:t>
      </w:r>
      <w:r w:rsidR="005C4A2D">
        <w:rPr>
          <w:rFonts w:ascii="Times New Roman" w:hAnsi="Times New Roman" w:cs="Times New Roman"/>
          <w:sz w:val="24"/>
          <w:szCs w:val="24"/>
        </w:rPr>
        <w:t>.0</w:t>
      </w:r>
      <w:r w:rsidR="00D3577B">
        <w:rPr>
          <w:rFonts w:ascii="Times New Roman" w:hAnsi="Times New Roman" w:cs="Times New Roman"/>
          <w:sz w:val="24"/>
          <w:szCs w:val="24"/>
        </w:rPr>
        <w:t>3</w:t>
      </w:r>
      <w:r w:rsidR="005C4A2D">
        <w:rPr>
          <w:rFonts w:ascii="Times New Roman" w:hAnsi="Times New Roman" w:cs="Times New Roman"/>
          <w:sz w:val="24"/>
          <w:szCs w:val="24"/>
        </w:rPr>
        <w:t>.202</w:t>
      </w:r>
      <w:r w:rsidR="00D3577B">
        <w:rPr>
          <w:rFonts w:ascii="Times New Roman" w:hAnsi="Times New Roman" w:cs="Times New Roman"/>
          <w:sz w:val="24"/>
          <w:szCs w:val="24"/>
        </w:rPr>
        <w:t>3</w:t>
      </w:r>
      <w:r w:rsidR="005C4A2D">
        <w:rPr>
          <w:rFonts w:ascii="Times New Roman" w:hAnsi="Times New Roman" w:cs="Times New Roman"/>
          <w:sz w:val="24"/>
          <w:szCs w:val="24"/>
        </w:rPr>
        <w:t xml:space="preserve"> року</w:t>
      </w:r>
      <w:r w:rsidR="00195E6D">
        <w:rPr>
          <w:rFonts w:ascii="Times New Roman" w:hAnsi="Times New Roman" w:cs="Times New Roman"/>
          <w:sz w:val="24"/>
          <w:szCs w:val="24"/>
        </w:rPr>
        <w:t xml:space="preserve"> та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>Порядку проведення конкурсу по визначенню одержувачів бюджетних коштів на умовах співфінансування</w:t>
      </w:r>
      <w:r w:rsidR="00FF7C55">
        <w:rPr>
          <w:rFonts w:ascii="Times New Roman" w:hAnsi="Times New Roman" w:cs="Times New Roman"/>
          <w:sz w:val="24"/>
          <w:szCs w:val="24"/>
        </w:rPr>
        <w:t>, затвердженого рішенням сесії</w:t>
      </w:r>
      <w:r w:rsidR="007C6BF1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C6BF1" w:rsidRPr="00467A3C">
        <w:rPr>
          <w:rFonts w:ascii="Times New Roman" w:hAnsi="Times New Roman" w:cs="Times New Roman"/>
          <w:sz w:val="24"/>
          <w:szCs w:val="24"/>
        </w:rPr>
        <w:t>від 0</w:t>
      </w:r>
      <w:r w:rsidR="00FF7C55" w:rsidRPr="00467A3C">
        <w:rPr>
          <w:rFonts w:ascii="Times New Roman" w:hAnsi="Times New Roman" w:cs="Times New Roman"/>
          <w:sz w:val="24"/>
          <w:szCs w:val="24"/>
        </w:rPr>
        <w:t>7.</w:t>
      </w:r>
      <w:r w:rsidR="007C6BF1" w:rsidRPr="00467A3C">
        <w:rPr>
          <w:rFonts w:ascii="Times New Roman" w:hAnsi="Times New Roman" w:cs="Times New Roman"/>
          <w:sz w:val="24"/>
          <w:szCs w:val="24"/>
        </w:rPr>
        <w:t>10.202</w:t>
      </w:r>
      <w:r w:rsidR="00467A3C" w:rsidRPr="00467A3C">
        <w:rPr>
          <w:rFonts w:ascii="Times New Roman" w:hAnsi="Times New Roman" w:cs="Times New Roman"/>
          <w:sz w:val="24"/>
          <w:szCs w:val="24"/>
        </w:rPr>
        <w:t>0</w:t>
      </w:r>
      <w:r w:rsidR="007C6BF1" w:rsidRPr="00467A3C">
        <w:rPr>
          <w:rFonts w:ascii="Times New Roman" w:hAnsi="Times New Roman" w:cs="Times New Roman"/>
          <w:sz w:val="24"/>
          <w:szCs w:val="24"/>
        </w:rPr>
        <w:t xml:space="preserve"> року № 3</w:t>
      </w:r>
      <w:r w:rsidR="00FF7C55" w:rsidRPr="00467A3C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F7C55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 xml:space="preserve">та </w:t>
      </w:r>
      <w:r w:rsidR="00195E6D" w:rsidRPr="00AC3914">
        <w:rPr>
          <w:rFonts w:ascii="Times New Roman" w:hAnsi="Times New Roman" w:cs="Times New Roman"/>
          <w:sz w:val="24"/>
          <w:szCs w:val="24"/>
        </w:rPr>
        <w:t xml:space="preserve">керуючись Законом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B74E8D" w:rsidRPr="00437CAD">
        <w:rPr>
          <w:rFonts w:ascii="Times New Roman" w:hAnsi="Times New Roman" w:cs="Times New Roman"/>
          <w:sz w:val="24"/>
          <w:szCs w:val="24"/>
        </w:rPr>
        <w:t>«</w:t>
      </w:r>
      <w:r w:rsidR="00AC3914"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 w:rsidRPr="00437CAD">
        <w:rPr>
          <w:rFonts w:ascii="Times New Roman" w:hAnsi="Times New Roman" w:cs="Times New Roman"/>
          <w:sz w:val="24"/>
          <w:szCs w:val="24"/>
        </w:rPr>
        <w:t>»</w:t>
      </w:r>
      <w:r w:rsidR="00AC3914"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D3577B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за рахунок коштів 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  <w:r w:rsidR="008B6698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AC3914"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577B">
        <w:rPr>
          <w:rFonts w:ascii="Times New Roman" w:hAnsi="Times New Roman" w:cs="Times New Roman"/>
          <w:sz w:val="24"/>
          <w:szCs w:val="24"/>
        </w:rPr>
        <w:t>М. Ваврищука</w:t>
      </w:r>
      <w:r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Default="00960659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74E8D" w:rsidRPr="00AC39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B74E8D" w:rsidRPr="00AC3914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D15110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8E3C1E">
        <w:rPr>
          <w:rFonts w:ascii="Times New Roman" w:hAnsi="Times New Roman" w:cs="Times New Roman"/>
          <w:sz w:val="24"/>
          <w:szCs w:val="24"/>
        </w:rPr>
        <w:t>23.03.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A3C">
        <w:rPr>
          <w:rFonts w:ascii="Times New Roman" w:hAnsi="Times New Roman" w:cs="Times New Roman"/>
          <w:sz w:val="24"/>
          <w:szCs w:val="24"/>
        </w:rPr>
        <w:t>3</w:t>
      </w:r>
      <w:r w:rsidR="008E3C1E">
        <w:rPr>
          <w:rFonts w:ascii="Times New Roman" w:hAnsi="Times New Roman" w:cs="Times New Roman"/>
          <w:sz w:val="24"/>
          <w:szCs w:val="24"/>
        </w:rPr>
        <w:t xml:space="preserve"> року № 265</w:t>
      </w:r>
      <w:bookmarkStart w:id="0" w:name="_GoBack"/>
      <w:bookmarkEnd w:id="0"/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Pr="00AC3914" w:rsidRDefault="00AC3914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467A3C">
        <w:rPr>
          <w:rFonts w:ascii="Times New Roman" w:hAnsi="Times New Roman" w:cs="Times New Roman"/>
          <w:b/>
          <w:sz w:val="24"/>
          <w:szCs w:val="24"/>
        </w:rPr>
        <w:t>е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</w:t>
      </w:r>
      <w:r w:rsidR="002B78C3">
        <w:rPr>
          <w:rFonts w:ascii="Times New Roman" w:hAnsi="Times New Roman" w:cs="Times New Roman"/>
          <w:b/>
          <w:sz w:val="24"/>
          <w:szCs w:val="24"/>
        </w:rPr>
        <w:t>громади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552"/>
        <w:gridCol w:w="1291"/>
      </w:tblGrid>
      <w:tr w:rsidR="002B78C3" w:rsidRPr="002B78C3" w:rsidTr="00D15110">
        <w:trPr>
          <w:trHeight w:val="31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2B78C3" w:rsidRPr="002B78C3" w:rsidRDefault="002B78C3" w:rsidP="002B78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2B78C3" w:rsidRPr="002B78C3" w:rsidRDefault="002B78C3" w:rsidP="00467A3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 мікропро</w:t>
            </w:r>
            <w:r w:rsidR="00467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кту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2B78C3" w:rsidRPr="002B78C3" w:rsidRDefault="00CC1F47" w:rsidP="00CC1F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Співфінансу</w:t>
            </w:r>
            <w:r w:rsidR="002B78C3"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вання з бюджету громади,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Середній бал</w:t>
            </w:r>
          </w:p>
        </w:tc>
      </w:tr>
      <w:tr w:rsidR="002B78C3" w:rsidRPr="002B78C3" w:rsidTr="00D15110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3C" w:rsidRPr="002B78C3" w:rsidTr="002B78C3">
        <w:trPr>
          <w:trHeight w:val="648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Навчально-тренувальний центр підготовки операторів БПЛА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</w:tr>
      <w:tr w:rsidR="00467A3C" w:rsidRPr="002B78C3" w:rsidTr="00D15110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Врожайний рік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71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200 000,00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</w:tr>
      <w:tr w:rsidR="00467A3C" w:rsidRPr="002B78C3" w:rsidTr="00D15110">
        <w:trPr>
          <w:trHeight w:val="4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Хмельницький: перезавантаження ВПО шляхом надання можливостей для створення або відновлення малого бізнесу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158 000,00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25,17</w:t>
            </w:r>
          </w:p>
        </w:tc>
      </w:tr>
      <w:tr w:rsidR="00467A3C" w:rsidRPr="002B78C3" w:rsidTr="00D15110">
        <w:trPr>
          <w:trHeight w:val="18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занять з дітьми ВПО на базі бібліотек міста в форматі «Вільна мама»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</w:tr>
      <w:tr w:rsidR="00467A3C" w:rsidRPr="002B78C3" w:rsidTr="00D15110">
        <w:trPr>
          <w:trHeight w:val="26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Військовий вишкіл «Незламні»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166 520,00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23,90</w:t>
            </w:r>
          </w:p>
        </w:tc>
      </w:tr>
      <w:tr w:rsidR="00467A3C" w:rsidRPr="002B78C3" w:rsidTr="00D15110">
        <w:trPr>
          <w:trHeight w:val="28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Сонячна енергія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38 250,00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</w:tr>
      <w:tr w:rsidR="00467A3C" w:rsidRPr="002B78C3" w:rsidTr="00D15110">
        <w:trPr>
          <w:trHeight w:val="54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Від зцілення до співпраці: зміцнення місцевої самоорганізації та соціальної згуртованості молоді у старостатах Хмельницької ТГ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71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200 000,00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22,67</w:t>
            </w:r>
          </w:p>
        </w:tc>
      </w:tr>
      <w:tr w:rsidR="00467A3C" w:rsidRPr="002B78C3" w:rsidTr="00D15110">
        <w:trPr>
          <w:trHeight w:val="55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Придбання аудіоапаратури для проведення благодійних концертів «Почуй благодійне серце»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193 800,00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</w:tr>
      <w:tr w:rsidR="00467A3C" w:rsidRPr="002B78C3" w:rsidTr="00D15110">
        <w:trPr>
          <w:trHeight w:val="43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67A3C" w:rsidRPr="002B78C3" w:rsidRDefault="00467A3C" w:rsidP="00467A3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Вільно WATT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199 400,00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67A3C" w:rsidRPr="00A071FC" w:rsidRDefault="00467A3C" w:rsidP="00467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sz w:val="24"/>
                <w:szCs w:val="24"/>
              </w:rPr>
              <w:t>21,36</w:t>
            </w:r>
          </w:p>
        </w:tc>
      </w:tr>
      <w:tr w:rsidR="00D15110" w:rsidRPr="002B78C3" w:rsidTr="00D15110">
        <w:trPr>
          <w:trHeight w:val="276"/>
        </w:trPr>
        <w:tc>
          <w:tcPr>
            <w:tcW w:w="5778" w:type="dxa"/>
            <w:gridSpan w:val="2"/>
            <w:shd w:val="clear" w:color="auto" w:fill="auto"/>
            <w:noWrap/>
            <w:vAlign w:val="center"/>
          </w:tcPr>
          <w:p w:rsidR="00D15110" w:rsidRPr="002B78C3" w:rsidRDefault="00D15110" w:rsidP="00D1511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2B78C3" w:rsidRDefault="00467A3C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1 525 970,0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2B78C3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8F9" w:rsidRPr="00AC3914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410"/>
      </w:tblGrid>
      <w:tr w:rsidR="00C138F9" w:rsidTr="009D5FE2">
        <w:trPr>
          <w:trHeight w:val="1085"/>
        </w:trPr>
        <w:tc>
          <w:tcPr>
            <w:tcW w:w="5778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9D5FE2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r w:rsidR="00D15110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САБІЙ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9D5FE2">
        <w:trPr>
          <w:trHeight w:val="486"/>
        </w:trPr>
        <w:tc>
          <w:tcPr>
            <w:tcW w:w="5778" w:type="dxa"/>
          </w:tcPr>
          <w:p w:rsidR="00C138F9" w:rsidRDefault="00467A3C" w:rsidP="00467A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економіки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467A3C" w:rsidP="009D5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5FE2">
              <w:rPr>
                <w:rFonts w:ascii="Times New Roman" w:hAnsi="Times New Roman" w:cs="Times New Roman"/>
                <w:sz w:val="24"/>
                <w:szCs w:val="24"/>
              </w:rPr>
              <w:t>аталія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САХАРОВА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1054C7"/>
    <w:rsid w:val="00136BFB"/>
    <w:rsid w:val="00195E6D"/>
    <w:rsid w:val="002B78C3"/>
    <w:rsid w:val="002F0B90"/>
    <w:rsid w:val="003131BD"/>
    <w:rsid w:val="00317722"/>
    <w:rsid w:val="00437CAD"/>
    <w:rsid w:val="00467A3C"/>
    <w:rsid w:val="004F713B"/>
    <w:rsid w:val="00575E74"/>
    <w:rsid w:val="005C4A2D"/>
    <w:rsid w:val="006131EB"/>
    <w:rsid w:val="006174C6"/>
    <w:rsid w:val="006A6DB3"/>
    <w:rsid w:val="006E189A"/>
    <w:rsid w:val="007C6BF1"/>
    <w:rsid w:val="00841660"/>
    <w:rsid w:val="008B6698"/>
    <w:rsid w:val="008D7E10"/>
    <w:rsid w:val="008E3C1E"/>
    <w:rsid w:val="00911AC5"/>
    <w:rsid w:val="00960659"/>
    <w:rsid w:val="009B5DDC"/>
    <w:rsid w:val="009D5FE2"/>
    <w:rsid w:val="00A51F87"/>
    <w:rsid w:val="00AC3914"/>
    <w:rsid w:val="00B5060A"/>
    <w:rsid w:val="00B74E8D"/>
    <w:rsid w:val="00C138F9"/>
    <w:rsid w:val="00C23BCB"/>
    <w:rsid w:val="00CC1F47"/>
    <w:rsid w:val="00D15110"/>
    <w:rsid w:val="00D3577B"/>
    <w:rsid w:val="00D82EFC"/>
    <w:rsid w:val="00E33FC6"/>
    <w:rsid w:val="00F52348"/>
    <w:rsid w:val="00F81A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3117-1EE0-44C5-8418-3B6EEE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Кірічук Оксана Володимирівна</cp:lastModifiedBy>
  <cp:revision>11</cp:revision>
  <cp:lastPrinted>2023-03-20T11:51:00Z</cp:lastPrinted>
  <dcterms:created xsi:type="dcterms:W3CDTF">2017-07-07T09:36:00Z</dcterms:created>
  <dcterms:modified xsi:type="dcterms:W3CDTF">2023-03-28T10:58:00Z</dcterms:modified>
</cp:coreProperties>
</file>