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CB5FF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A0885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5628635D" wp14:editId="6678D1B5">
            <wp:extent cx="45910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D6A5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30D5E12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2DEA21E" w14:textId="77777777" w:rsidR="00D347BB" w:rsidRPr="00AA0885" w:rsidRDefault="00D347BB" w:rsidP="00D347BB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1FE40F9" w14:textId="77777777" w:rsidR="00D347BB" w:rsidRPr="00AA0885" w:rsidRDefault="00D347BB" w:rsidP="00D347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20F75D5" w14:textId="58E05E49" w:rsidR="00D347BB" w:rsidRPr="00AA0885" w:rsidRDefault="00D347BB" w:rsidP="000B70E0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AA0885">
        <w:rPr>
          <w:rFonts w:ascii="Times New Roman CYR" w:hAnsi="Times New Roman CYR" w:cs="Times New Roman CYR"/>
          <w:bCs/>
          <w:lang w:val="uk-UA"/>
        </w:rPr>
        <w:t>від _________________ №_______</w:t>
      </w:r>
      <w:r w:rsidR="000B70E0">
        <w:rPr>
          <w:rFonts w:ascii="Times New Roman CYR" w:hAnsi="Times New Roman CYR" w:cs="Times New Roman CYR"/>
          <w:bCs/>
          <w:lang w:val="uk-UA"/>
        </w:rPr>
        <w:tab/>
      </w:r>
      <w:r w:rsidRPr="00AA0885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AA0885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13D8806B" w14:textId="1E59F214" w:rsidR="00A52D51" w:rsidRPr="002A52F4" w:rsidRDefault="00A52D51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BA89EFC" w14:textId="77777777" w:rsidR="007C4C2D" w:rsidRPr="002A52F4" w:rsidRDefault="007C4C2D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341986E3" w14:textId="17D0EDD1" w:rsidR="00A678AA" w:rsidRPr="002A52F4" w:rsidRDefault="00A678AA" w:rsidP="00A678AA">
      <w:pPr>
        <w:pStyle w:val="a5"/>
        <w:tabs>
          <w:tab w:val="left" w:pos="4780"/>
        </w:tabs>
        <w:ind w:left="108" w:right="4677"/>
        <w:rPr>
          <w:rFonts w:ascii="Times New Roman" w:hAnsi="Times New Roman"/>
          <w:sz w:val="24"/>
          <w:szCs w:val="24"/>
          <w:lang w:val="uk-UA"/>
        </w:rPr>
      </w:pPr>
      <w:r w:rsidRPr="004D3946">
        <w:rPr>
          <w:rFonts w:ascii="Times New Roman" w:hAnsi="Times New Roman"/>
          <w:sz w:val="24"/>
          <w:szCs w:val="24"/>
          <w:lang w:val="uk-UA"/>
        </w:rPr>
        <w:t>Про затвердження Програми комплексної термомодернізації об’єктів бюджетної сфери Хмельницької міської територіальної громади на 2024 – 2034 роки</w:t>
      </w:r>
    </w:p>
    <w:p w14:paraId="5BF4A647" w14:textId="77777777" w:rsidR="00A52D51" w:rsidRPr="002A52F4" w:rsidRDefault="00A52D51" w:rsidP="007C4C2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CD0D82A" w14:textId="77777777" w:rsidR="00A52D51" w:rsidRPr="002A52F4" w:rsidRDefault="00A52D51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301BDB1" w14:textId="7F960154" w:rsidR="00A52D51" w:rsidRPr="002A52F4" w:rsidRDefault="00BA4F3E" w:rsidP="000F247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52F4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2A52F4">
        <w:rPr>
          <w:rFonts w:ascii="Times New Roman" w:hAnsi="Times New Roman"/>
          <w:sz w:val="24"/>
          <w:szCs w:val="24"/>
          <w:lang w:val="uk-UA"/>
        </w:rPr>
        <w:t>ю</w:t>
      </w:r>
      <w:r w:rsidRPr="002A52F4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C61F2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C61F2B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C61F2B" w:rsidRPr="00C61F2B">
        <w:rPr>
          <w:rFonts w:ascii="Times New Roman" w:hAnsi="Times New Roman"/>
          <w:sz w:val="24"/>
          <w:szCs w:val="24"/>
          <w:lang w:val="uk-UA"/>
        </w:rPr>
        <w:t xml:space="preserve"> метою підвищення рівня енергоефективності будівель бюджетної сфери громади, зменшення споживання енергоресурсів та зменшення видатків бюджету на оплату енергоносіїв, належного планування та реалізації проектів з енергоефективності, для створення умов впровадження Схеми теплопостачання міста Хмельницького на 2022-2032 роки</w:t>
      </w:r>
      <w:r w:rsidR="00C61F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76708AF" w14:textId="77777777" w:rsidR="00A52D51" w:rsidRPr="000F2476" w:rsidRDefault="00A52D51" w:rsidP="000F24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F2476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6C4F112" w14:textId="77777777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77E8D756" w14:textId="04431BF7" w:rsidR="00E84F75" w:rsidRPr="007972AB" w:rsidRDefault="00E84F75" w:rsidP="00E84F75">
      <w:pPr>
        <w:pStyle w:val="a6"/>
        <w:numPr>
          <w:ilvl w:val="0"/>
          <w:numId w:val="13"/>
        </w:numPr>
        <w:tabs>
          <w:tab w:val="left" w:pos="794"/>
        </w:tabs>
        <w:spacing w:line="288" w:lineRule="auto"/>
        <w:ind w:left="0" w:firstLine="567"/>
        <w:rPr>
          <w:szCs w:val="24"/>
          <w:lang w:val="uk-UA"/>
        </w:rPr>
      </w:pPr>
      <w:r>
        <w:rPr>
          <w:szCs w:val="24"/>
          <w:lang w:val="uk-UA"/>
        </w:rPr>
        <w:t>З</w:t>
      </w:r>
      <w:r w:rsidRPr="007972AB">
        <w:rPr>
          <w:szCs w:val="24"/>
          <w:lang w:val="uk-UA"/>
        </w:rPr>
        <w:t>атверд</w:t>
      </w:r>
      <w:r>
        <w:rPr>
          <w:szCs w:val="24"/>
          <w:lang w:val="uk-UA"/>
        </w:rPr>
        <w:t>ити</w:t>
      </w:r>
      <w:r w:rsidRPr="007972AB">
        <w:rPr>
          <w:szCs w:val="24"/>
          <w:lang w:val="uk-UA"/>
        </w:rPr>
        <w:t xml:space="preserve"> </w:t>
      </w:r>
      <w:r w:rsidR="0067786C" w:rsidRPr="0067786C">
        <w:rPr>
          <w:szCs w:val="24"/>
          <w:lang w:val="uk-UA"/>
        </w:rPr>
        <w:t>Програм</w:t>
      </w:r>
      <w:r w:rsidR="0067786C">
        <w:rPr>
          <w:szCs w:val="24"/>
          <w:lang w:val="uk-UA"/>
        </w:rPr>
        <w:t>у</w:t>
      </w:r>
      <w:r w:rsidR="0067786C" w:rsidRPr="0067786C">
        <w:rPr>
          <w:szCs w:val="24"/>
          <w:lang w:val="uk-UA"/>
        </w:rPr>
        <w:t xml:space="preserve"> комплексної термомодернізації об’єктів бюджетної сфери Хмельницької міської територіальної громади на 2024 – 2034 роки, згідно з додатком</w:t>
      </w:r>
      <w:r w:rsidRPr="007972AB">
        <w:rPr>
          <w:szCs w:val="24"/>
          <w:lang w:val="uk-UA"/>
        </w:rPr>
        <w:t>.</w:t>
      </w:r>
    </w:p>
    <w:p w14:paraId="3DB55057" w14:textId="653222CA" w:rsidR="00E84F75" w:rsidRPr="00CA24F8" w:rsidRDefault="00E84F75" w:rsidP="00E84F75">
      <w:pPr>
        <w:pStyle w:val="a6"/>
        <w:numPr>
          <w:ilvl w:val="0"/>
          <w:numId w:val="13"/>
        </w:numPr>
        <w:tabs>
          <w:tab w:val="left" w:pos="794"/>
        </w:tabs>
        <w:spacing w:line="288" w:lineRule="auto"/>
        <w:ind w:left="0" w:firstLine="567"/>
        <w:rPr>
          <w:szCs w:val="24"/>
          <w:lang w:val="uk-UA"/>
        </w:rPr>
      </w:pPr>
      <w:r w:rsidRPr="00CA24F8">
        <w:rPr>
          <w:szCs w:val="24"/>
          <w:lang w:val="uk-UA"/>
        </w:rPr>
        <w:t>Відповідальність за виконання рішення покласти на</w:t>
      </w:r>
      <w:r>
        <w:rPr>
          <w:szCs w:val="24"/>
          <w:lang w:val="uk-UA"/>
        </w:rPr>
        <w:t xml:space="preserve"> </w:t>
      </w:r>
      <w:r w:rsidRPr="00CA24F8">
        <w:rPr>
          <w:szCs w:val="24"/>
          <w:lang w:val="uk-UA"/>
        </w:rPr>
        <w:t>заступник</w:t>
      </w:r>
      <w:r>
        <w:rPr>
          <w:szCs w:val="24"/>
          <w:lang w:val="uk-UA"/>
        </w:rPr>
        <w:t>ів</w:t>
      </w:r>
      <w:r w:rsidRPr="00CA24F8">
        <w:rPr>
          <w:szCs w:val="24"/>
          <w:lang w:val="uk-UA"/>
        </w:rPr>
        <w:t xml:space="preserve"> міського голови </w:t>
      </w:r>
      <w:r>
        <w:rPr>
          <w:szCs w:val="24"/>
          <w:lang w:val="uk-UA"/>
        </w:rPr>
        <w:t>М.</w:t>
      </w:r>
      <w:r w:rsidR="002945FE">
        <w:rPr>
          <w:szCs w:val="24"/>
          <w:lang w:val="uk-UA"/>
        </w:rPr>
        <w:t> </w:t>
      </w:r>
      <w:r>
        <w:rPr>
          <w:szCs w:val="24"/>
          <w:lang w:val="uk-UA"/>
        </w:rPr>
        <w:t>КРИВАКА</w:t>
      </w:r>
      <w:r w:rsidR="00CA7C8F">
        <w:rPr>
          <w:szCs w:val="24"/>
          <w:lang w:val="uk-UA"/>
        </w:rPr>
        <w:t xml:space="preserve"> та</w:t>
      </w:r>
      <w:r>
        <w:rPr>
          <w:szCs w:val="24"/>
          <w:lang w:val="uk-UA"/>
        </w:rPr>
        <w:t xml:space="preserve"> </w:t>
      </w:r>
      <w:r w:rsidR="00CA7C8F">
        <w:rPr>
          <w:szCs w:val="24"/>
          <w:lang w:val="uk-UA"/>
        </w:rPr>
        <w:t>В. НОВАЧКА.</w:t>
      </w:r>
    </w:p>
    <w:p w14:paraId="6FD7DBFD" w14:textId="77777777" w:rsidR="00E84F75" w:rsidRPr="00CA24F8" w:rsidRDefault="00E84F75" w:rsidP="00E84F75">
      <w:pPr>
        <w:pStyle w:val="a6"/>
        <w:numPr>
          <w:ilvl w:val="0"/>
          <w:numId w:val="13"/>
        </w:numPr>
        <w:tabs>
          <w:tab w:val="left" w:pos="794"/>
        </w:tabs>
        <w:spacing w:line="288" w:lineRule="auto"/>
        <w:ind w:left="0" w:firstLine="567"/>
        <w:rPr>
          <w:szCs w:val="24"/>
          <w:lang w:val="uk-UA"/>
        </w:rPr>
      </w:pPr>
      <w:r w:rsidRPr="00CA24F8">
        <w:rPr>
          <w:szCs w:val="24"/>
          <w:lang w:val="uk-UA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626F1796" w14:textId="67DFDE15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257ACE4" w14:textId="1D452843" w:rsidR="000F2476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7E7F" w14:paraId="7BC7D4BC" w14:textId="77777777" w:rsidTr="005C7E7F">
        <w:tc>
          <w:tcPr>
            <w:tcW w:w="4672" w:type="dxa"/>
            <w:tcMar>
              <w:left w:w="0" w:type="dxa"/>
            </w:tcMar>
          </w:tcPr>
          <w:p w14:paraId="22A09FD4" w14:textId="61C8BE54" w:rsidR="005C7E7F" w:rsidRDefault="005C7E7F" w:rsidP="00EB5C51">
            <w:pPr>
              <w:pStyle w:val="a5"/>
              <w:rPr>
                <w:rFonts w:ascii="Times New Roman" w:hAnsi="Times New Roman"/>
                <w:lang w:val="uk-UA"/>
              </w:rPr>
            </w:pPr>
            <w:r w:rsidRPr="005C7E7F">
              <w:rPr>
                <w:rFonts w:ascii="Times New Roman" w:hAnsi="Times New Roman"/>
                <w:lang w:val="uk-UA"/>
              </w:rPr>
              <w:t>Міський голова</w:t>
            </w:r>
          </w:p>
        </w:tc>
        <w:tc>
          <w:tcPr>
            <w:tcW w:w="4673" w:type="dxa"/>
            <w:tcMar>
              <w:left w:w="0" w:type="dxa"/>
            </w:tcMar>
          </w:tcPr>
          <w:p w14:paraId="07204370" w14:textId="2F72FA55" w:rsidR="005C7E7F" w:rsidRDefault="005C7E7F" w:rsidP="005C7E7F">
            <w:pPr>
              <w:pStyle w:val="a5"/>
              <w:jc w:val="right"/>
              <w:rPr>
                <w:rFonts w:ascii="Times New Roman" w:hAnsi="Times New Roman"/>
                <w:lang w:val="uk-UA"/>
              </w:rPr>
            </w:pPr>
            <w:r w:rsidRPr="005C7E7F">
              <w:rPr>
                <w:rFonts w:ascii="Times New Roman" w:hAnsi="Times New Roman"/>
                <w:lang w:val="uk-UA"/>
              </w:rPr>
              <w:t>О</w:t>
            </w:r>
            <w:r w:rsidR="003D588E">
              <w:rPr>
                <w:rFonts w:ascii="Times New Roman" w:hAnsi="Times New Roman"/>
                <w:lang w:val="uk-UA"/>
              </w:rPr>
              <w:t>лександр</w:t>
            </w:r>
            <w:r w:rsidR="00590E39">
              <w:rPr>
                <w:rFonts w:ascii="Times New Roman" w:hAnsi="Times New Roman"/>
                <w:lang w:val="uk-UA"/>
              </w:rPr>
              <w:t xml:space="preserve"> </w:t>
            </w:r>
            <w:r w:rsidRPr="005C7E7F">
              <w:rPr>
                <w:rFonts w:ascii="Times New Roman" w:hAnsi="Times New Roman"/>
                <w:lang w:val="uk-UA"/>
              </w:rPr>
              <w:t>СИМЧИШИН</w:t>
            </w:r>
          </w:p>
        </w:tc>
      </w:tr>
    </w:tbl>
    <w:p w14:paraId="63920344" w14:textId="30861ECF" w:rsidR="00E84F75" w:rsidRDefault="00E84F75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8A8F733" w14:textId="245FBA0D" w:rsidR="000F2476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077151E7" w14:textId="77777777" w:rsidR="000706B9" w:rsidRPr="00EB5C51" w:rsidRDefault="000706B9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5AE8C68F" w14:textId="77777777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  <w:sectPr w:rsidR="00A52D51" w:rsidRPr="00EB5C51" w:rsidSect="00A52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F1B37" w14:textId="7DC65214" w:rsidR="00F44E21" w:rsidRPr="00F44E21" w:rsidRDefault="00F44E21" w:rsidP="00896A3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0" w:name="_Hlk116638992"/>
      <w:r w:rsidRPr="00F44E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Додаток</w:t>
      </w:r>
    </w:p>
    <w:p w14:paraId="5C03D61C" w14:textId="77777777" w:rsidR="00F44E21" w:rsidRPr="00F44E21" w:rsidRDefault="00F44E21" w:rsidP="00F44E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44E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сесії міської ради</w:t>
      </w:r>
    </w:p>
    <w:p w14:paraId="1A39D4CE" w14:textId="2B02BB95" w:rsidR="00F44E21" w:rsidRPr="00F44E21" w:rsidRDefault="00F44E21" w:rsidP="00F44E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44E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 _____ ____________202</w:t>
      </w:r>
      <w:r w:rsidR="00C902C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3</w:t>
      </w:r>
      <w:r w:rsidRPr="00F44E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№ _____</w:t>
      </w:r>
    </w:p>
    <w:bookmarkEnd w:id="0"/>
    <w:p w14:paraId="53DF1EFB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31B46C29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71A626BA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0E289281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458905C0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34AE7B01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24B1B08E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4FCEED3C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506FF2BC" w14:textId="77777777" w:rsidR="00C902C1" w:rsidRPr="00C902C1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71BFEB43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ПРОГРАМА</w:t>
      </w:r>
    </w:p>
    <w:p w14:paraId="6AB168CA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комплексної термомодернізації об’єктів бюджетної </w:t>
      </w:r>
    </w:p>
    <w:p w14:paraId="330E0C8A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сфери Хмельницької територіальної громади на 2024 – 2034 роки</w:t>
      </w:r>
    </w:p>
    <w:p w14:paraId="3D03C6FA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F52B2D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864CB1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38F8FF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FB5082E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F07B9BB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66D1FCA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3694EBD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9FE9801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1A3535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77F9BD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CB48614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4886C81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0B77665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945B8E3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2D2BF26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9FBD0BF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C841537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22EB30C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497CBEC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E76DA2D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09CC816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9B4E8BB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5127C6" w14:textId="77777777" w:rsidR="00C902C1" w:rsidRPr="00C902C1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106FA89B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І. Склад проблеми та обґрунтування необхідності її розв’язання </w:t>
      </w:r>
    </w:p>
    <w:p w14:paraId="26A3F556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07B277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Одними з найбільш гострих на сучасному етапі розвитку України є проблеми стабільного енергозабезпечення та ефективного використання енергоресурсів під час війни та після її завершення, від вирішення яких значною мірою залежить рівень економічного й соціального розвитку суспільства.</w:t>
      </w:r>
    </w:p>
    <w:p w14:paraId="71567158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 на теперішній час імпортує велику кількість енергоресурсів (природний газ, ядерне паливо тощо), що призводить до значної залежності держави від іноземних постачальників.</w:t>
      </w:r>
    </w:p>
    <w:p w14:paraId="1C472F63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зростання цін на енергоносії їх ефективне використання стало нагальною потребою.</w:t>
      </w:r>
    </w:p>
    <w:p w14:paraId="71F1AA86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Політика енергозбереження та підвищення енергоефективності в усіх елементах суспільного життя держави є важливим чинником впливу на сучасну енергетичну безпеку України, стабільне забезпечення виробництва та населення енергоносіями.</w:t>
      </w:r>
    </w:p>
    <w:p w14:paraId="5F27D468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Бюджетний сектор України характеризується високим рівнем споживання енергоресурсів. </w:t>
      </w:r>
    </w:p>
    <w:p w14:paraId="160C9232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Середнє питоме споживання теплової енергії будівель в Україні в 2 рази вище ніж у країнах Європейського Союзу та становить близько 175 кВт*год/м</w:t>
      </w:r>
      <w:r w:rsidRPr="00C902C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опалювальної площі будівлі закладу, аналогічний показник країн Європейського Союзу є на рівні 86 кВт*год/м</w:t>
      </w:r>
      <w:r w:rsidRPr="00C902C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. З огляду на це, потенціал енергозбереження об’єктів закладів бюджетної сфери громади та зниження споживання ними енергії і пов’язаних бюджетних витрат може становити до 50% від теперішніх витрат.</w:t>
      </w:r>
    </w:p>
    <w:p w14:paraId="7B5137AA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зв’язку з приєднанням міста Хмельницького до Європейської ініціативи Угода мерів у 2015 р. місто зобов’язалось рухатись шляхом сталого енергетичного розвитку. У 2023 р. в рамках Проекту енергетичної безпеки 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en-US"/>
        </w:rPr>
        <w:t>USAID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була розроблена Схема теплопостачання міста Хмельницького на 2022-2032 роки (затверджена Міністерством розвитку громад, територій та інфраструктури України). Відповідно до аналізу, зробленого в даному документі, виконати зобов’язання і зменшити споживання викопних видів палива на 50% до 2032 року неможливо без суттєвого (не менше ніж на 50%) зменшення споживання теплової енергії і газу. Основна частина даних ресурсів використовується на опалення будівель. Відповідно єдиним шляхом зменшення споживання газу безпосередньо (в будівлях на газовому опаленні) і теплової енергії (в будівлях на централізованому опаленні) без погіршення рівня комфорту є налагодження енергетичного функціонування і термомодернізація будівель.</w:t>
      </w:r>
    </w:p>
    <w:p w14:paraId="75D17B1A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6C8883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Найефективнішим способом налагодження та вирішення всього спектру проблем енергетичного функціонування будівель є </w:t>
      </w:r>
      <w:r w:rsidRPr="00C902C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комплексна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термомодернізація будівель.</w:t>
      </w:r>
    </w:p>
    <w:p w14:paraId="5EBDCB00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 вищенаведене, виникла необхідність прийняття Програми комплексної термомодернізації об’єктів бюджетної сфери на 2024 – 2034 роки (далі – Програма).</w:t>
      </w:r>
    </w:p>
    <w:p w14:paraId="3221AECC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спрямована на вирішення проблем щодо зниження рівня споживання енергоресурсів у будівлях бюджетної сфери громади.</w:t>
      </w:r>
    </w:p>
    <w:p w14:paraId="513B8759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C446DB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ІІ. Мета програми</w:t>
      </w:r>
    </w:p>
    <w:p w14:paraId="4BDF447B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530583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підвищення рівня енергоефективності об’єктів бюджетної сфери шляхом комплексної термомодернізації, зменшення споживання енергоресурсів та зменшення видатків бюджету на оплату енергоносіїв.</w:t>
      </w:r>
    </w:p>
    <w:p w14:paraId="3F0762D5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Мета Програми досягається за рахунок реалізації на території громади низки заходів, спрямованих на подальше скорочення обсягів споживання паливно-енергетичних ресурсів у бюджетній сфері.</w:t>
      </w:r>
    </w:p>
    <w:p w14:paraId="196762F8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Ефективність Програми визначається окупністю капітальних витрат на її реалізацію та зниженням щорічних витрат на оплату спожитих енергоресурсів.</w:t>
      </w:r>
    </w:p>
    <w:p w14:paraId="2E4C728D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Важливою частиною Програми є розробка та практична реалізація таких завдань: визначення реальних джерел і розробка фінансових механізмів інвестування у проекти з енергозбереження та підвищення енергоефективності.</w:t>
      </w:r>
    </w:p>
    <w:p w14:paraId="45D35660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До переліку показників оцінювання досягнутих результатів належать:</w:t>
      </w:r>
    </w:p>
    <w:p w14:paraId="57A581D5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скорочення обсягу бюджетних видатків;</w:t>
      </w:r>
    </w:p>
    <w:p w14:paraId="0372A3DF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обсяг залученого фінансування, яке спрямовуватиметься на фінансування заходів Програми.</w:t>
      </w:r>
    </w:p>
    <w:p w14:paraId="60054D2B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підготовці розрахунків необхідно враховувати, що кінцевою оцінкою виконання Програми повинно бути </w:t>
      </w: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забезпечення економії енергоресурсів (за умови дотримання відповідних вимог щодо охорони праці, санітарних норм та правил, тощо) при розрахунках за спожиту теплову енергію близько 40% від базового року.</w:t>
      </w:r>
    </w:p>
    <w:p w14:paraId="466E5C70" w14:textId="77777777" w:rsidR="00C902C1" w:rsidRPr="00C902C1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Базовими показниками при проведенні відповідних розрахунків установлюються показники 2021 року.</w:t>
      </w:r>
    </w:p>
    <w:p w14:paraId="12DD0B28" w14:textId="77777777" w:rsidR="00C902C1" w:rsidRPr="00C902C1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501C889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ІІІ. Шляхи й засоби розв’язання проблеми</w:t>
      </w:r>
    </w:p>
    <w:p w14:paraId="707702CA" w14:textId="77777777" w:rsidR="00C902C1" w:rsidRPr="00C902C1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Last"/>
      <w:bookmarkEnd w:id="1"/>
    </w:p>
    <w:p w14:paraId="20B2E31D" w14:textId="77777777" w:rsidR="00C902C1" w:rsidRPr="00C902C1" w:rsidRDefault="00C902C1" w:rsidP="00C902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Проблему передбачається розв’язати шляхом впровадження заходів з комплексної термомодернізації, встановлення нового енергоефективного обладнання, 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прогресивних архітектурно-будівельних рішень та технологій будівництва й ремонту будівель, поліпшення теплозахисних характеристик будівель закладів бюджетної сфери</w:t>
      </w: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Впровадження заходів з комплексної термомодернізації буде сприяти збільшенню строку експлуатації будівель бюджетних закладів громади, а також будівель, які мають певні обмеження щодо виконання робіт з комплексної термомодернізації (пам’ятка історії, об’єкт культурної спадщини, охоронна зона, тощо) шляхом здійснення обмеженого переліку енергоефективних заходів з метою зменшення споживання енергії. Перелік будівель, які можуть мати обмеження щодо виконання робіт з комплексної термомодернізації наведено у Додатку №3 до Програми.</w:t>
      </w:r>
    </w:p>
    <w:p w14:paraId="09BFA063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Програмі наведено дані про стан забезпечення енергоефективності та визначені пріоритетні напрями дій, шляхи максимального використання резервів економії енергетичних ресурсів у громаді та сформовано комплекс заходів. </w:t>
      </w:r>
      <w:r w:rsidRPr="00C902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У ході формування заходів з енергоефективності враховані прогресивні сучасні підходи та особлива роль </w:t>
      </w:r>
      <w:r w:rsidRPr="00C902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політики ефективного використання енергетичних ресурсів, пошуку й активного впровадження новітніх розробок, що сприяють </w:t>
      </w:r>
      <w:r w:rsidRPr="00C902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більш ефективному використанню енергоресурсів</w:t>
      </w:r>
      <w:r w:rsidRPr="00C902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.</w:t>
      </w:r>
    </w:p>
    <w:p w14:paraId="1778A912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0AFAC65F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V. Перелік заходів Програми</w:t>
      </w:r>
    </w:p>
    <w:p w14:paraId="5198F224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38E41CA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Вирішення вищезазначених проблем є неможливим без енергетичного менеджменту, проведення енергоаудитів будівель, аналізі їх результатів, плануванні та впровадженні відповідних дій. Програма охоплює заходи, спрямовані на отримання максимального ефекту від їх впровадження.</w:t>
      </w:r>
    </w:p>
    <w:p w14:paraId="337EE61C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Ключові заходи Програми:</w:t>
      </w:r>
    </w:p>
    <w:p w14:paraId="264E803D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1. Проведення енергетичних аудитів будівель для визначення проблем енергетичного функціонування будівель та розробки шляхів їх вирішення. </w:t>
      </w:r>
    </w:p>
    <w:p w14:paraId="2C9A6340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Цілі енергетичного аудиту:</w:t>
      </w:r>
    </w:p>
    <w:p w14:paraId="39DE65D8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кількісне оцінювання видів та обсягів споживання енергії на об’єктах;</w:t>
      </w:r>
    </w:p>
    <w:p w14:paraId="23F5CFE9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оцінювання потенціалу та резерву підвищення енергетичної ефективності об’єктів, проблемних місць, причин надмірного споживання енергоресурсів об’єктом, проблем в енергетичному функціонуванні об’єкта;</w:t>
      </w:r>
    </w:p>
    <w:p w14:paraId="2835D937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розробка рішень, які можуть бути застосовані для підвищення енергоефективності об’єкта на певних ділянках і в цілому, а також окупності запропонованих заходів.</w:t>
      </w:r>
    </w:p>
    <w:p w14:paraId="34DAD5F8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A4F4D68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2. Розробка проектно-кошторисної документації для комплексної термомодернізації будівель. </w:t>
      </w:r>
    </w:p>
    <w:p w14:paraId="5F595F1A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основі проведених енергоаудитів визначається перелік заходів, які необхідно реалізувати та формується завдання на проектування.</w:t>
      </w:r>
    </w:p>
    <w:p w14:paraId="02A25DDD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9F78C9A" w14:textId="77777777" w:rsidR="00C902C1" w:rsidRPr="00C902C1" w:rsidRDefault="00C902C1" w:rsidP="00C902C1">
      <w:pPr>
        <w:keepNext/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3. Проведення заходів з комплексної термомодернізації будівель бюджетної сфери. </w:t>
      </w:r>
    </w:p>
    <w:p w14:paraId="18D9B4F6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Заходи з комплексної термомодернізації складаються з:</w:t>
      </w:r>
    </w:p>
    <w:p w14:paraId="72FFF0A5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утеплення даху;</w:t>
      </w:r>
    </w:p>
    <w:p w14:paraId="5FBFDB62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утеплення зовнішніх огороджуючих конструкцій;</w:t>
      </w:r>
    </w:p>
    <w:p w14:paraId="5E5018BD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заміну зовнішніх вікон та дверей на сучасні енергоефективні;</w:t>
      </w:r>
    </w:p>
    <w:p w14:paraId="41D1F835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утеплення цоколю (вище і нижче рівня землі);</w:t>
      </w:r>
    </w:p>
    <w:p w14:paraId="2F2BD229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модернізацію та балансування системи опалення;</w:t>
      </w:r>
    </w:p>
    <w:p w14:paraId="3F2A3E9E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 індивідуального теплового пункту з погодозалежним регулюванням та можливістю дистанційного керування;</w:t>
      </w:r>
    </w:p>
    <w:p w14:paraId="52B1176D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вирішення питань функціонування систем електропостачання і водозабезпечення;</w:t>
      </w:r>
    </w:p>
    <w:p w14:paraId="6EDC9D3E" w14:textId="77777777" w:rsidR="00C902C1" w:rsidRPr="00C902C1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 супутніх робіт не обов’язково безпосередньо пов’язаних з термомодернізацією, однак без реалізації яких ефективне, тривале і надійне функціонування будівлі неможливе, зокрема але не виключно лише таких заходів: ремонт існуючої або облаштування нової системи водовідведення, ремонт існуючої або облаштування нової відмостки, ремонт або реконструкція даху, тощо.</w:t>
      </w:r>
    </w:p>
    <w:p w14:paraId="20893BE7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Проведення заходів комплексної термомодернізації спрямоване на підвищення енергоефективності будівель та зменшення обсягу споживання енергії та пов’язаних витрат.</w:t>
      </w:r>
    </w:p>
    <w:p w14:paraId="4BCBC171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2C8F28D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V. Ресурсне забезпечення Програми</w:t>
      </w:r>
    </w:p>
    <w:p w14:paraId="520DF7A5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E24868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Програми здійснюватиметься відповідно до законодавства та за рахунок коштів бюджету громади, а також інших джерел, не заборонених чинним законодавством.</w:t>
      </w:r>
    </w:p>
    <w:p w14:paraId="1000CB53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Заходи та фінансове забезпечення Програми – в Додатку 1.</w:t>
      </w:r>
    </w:p>
    <w:p w14:paraId="0984E747" w14:textId="77777777" w:rsidR="00C902C1" w:rsidRPr="00C902C1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У рамках виконання Програми передбачається можливість залучення кредитного та грантового ресурсу міжнародних фінансових інституцій та програм.</w:t>
      </w:r>
    </w:p>
    <w:p w14:paraId="4AA94424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A7FF81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</w:t>
      </w: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Строки та механізм реалізації Програми</w:t>
      </w:r>
    </w:p>
    <w:p w14:paraId="7A01DD50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34944405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Програма реалізується протягом 2024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2034 років, завершення виконання – грудень</w:t>
      </w: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034 року. </w:t>
      </w:r>
    </w:p>
    <w:p w14:paraId="37023455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Всі будівлі ранжовані за єдиним показником споживання теплової енергії в рік на кв. м. опалюваної площі та розділені на роки в яких запланована комплексна термомодернізація даних будівель (Додаток 2).</w:t>
      </w:r>
    </w:p>
    <w:p w14:paraId="6A9E636A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15 лютого року, який передує року, в якому заплановане проведення комплексної термомодернізації будівель, керівники бюджетних закладів, до яких входять дані будівлі, замовляють проведення інвестиційних енергоаудитів. Завдання на проведення енергоаудитів у встановленому порядку погоджується з відділом енергоменеджменту.</w:t>
      </w:r>
    </w:p>
    <w:p w14:paraId="5958BEBC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 основі звітів енергоаудитів до 15 травня робоча група, яка складається з працівників відділу енергоменеджменту, представників КП «Теплокомуненерго», закладу (керівник і енергоменеджер), якому належить будівля, та представників відповідного управління або департаменту, якому підпорядковується заклад, напрацьовує завдання на проектування комплексної термомодернізації відібраних будівель. У встановленому </w:t>
      </w: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lastRenderedPageBreak/>
        <w:t>порядку заплановані заходи погоджуються з заступником міського голови, який курує напрямок енергоефективності.</w:t>
      </w:r>
    </w:p>
    <w:p w14:paraId="3C9A1B59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15 червня року, на який заплановано проведення комплексної термомодернізації, заклади укладають угоди на розробку ПКД щодо проведення комплексної термомодернізації відібраних будівель.</w:t>
      </w:r>
    </w:p>
    <w:p w14:paraId="7F17F221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15 вересня відповідно до положень Концепції системи енергоменеджменту Хмельницької міської територіальної громади заклади погоджують розроблену ПКД з комплексної термомодернізації відібраних будівель з відділом енергоменеджменту, після чого проходять експертизу (за потреби, відповідно до чинного законодавства).</w:t>
      </w:r>
    </w:p>
    <w:p w14:paraId="54B0E328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кінця року заклади укладають угоди на виконання робіт , які мають бути проведені у наступному році.</w:t>
      </w:r>
    </w:p>
    <w:p w14:paraId="21076973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3465142E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VIІ. Організація управління та контролю за ходом виконання Програми</w:t>
      </w:r>
    </w:p>
    <w:p w14:paraId="24C3F36B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5E0706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Координацію роботи щодо виконання Програми здійснює виконавчий комітет Хмельницької міської ради, виконавець заходів – розпорядники коштів – бюджетні заклади, управління та департаменти виконавчого комітету міської ради.</w:t>
      </w:r>
    </w:p>
    <w:p w14:paraId="0E4018AC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Програми здійснює постійна комісія з </w:t>
      </w:r>
      <w:hyperlink r:id="rId6" w:history="1">
        <w:r w:rsidRPr="00C902C1">
          <w:rPr>
            <w:rFonts w:ascii="Times New Roman" w:eastAsia="Times New Roman" w:hAnsi="Times New Roman" w:cs="Times New Roman"/>
            <w:color w:val="252B33"/>
            <w:sz w:val="24"/>
            <w:szCs w:val="24"/>
            <w:u w:val="single"/>
            <w:shd w:val="clear" w:color="auto" w:fill="FFFFFF"/>
            <w:lang w:val="uk-UA" w:eastAsia="ru-RU"/>
          </w:rPr>
          <w:t>планування, бюджету, фінансів та децентралізації</w:t>
        </w:r>
      </w:hyperlink>
      <w:r w:rsidRPr="00C902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BFF2765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972E47" w14:textId="77777777" w:rsidR="00C902C1" w:rsidRPr="00C902C1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VIІІ. Очікувані результати виконання Програми </w:t>
      </w:r>
    </w:p>
    <w:p w14:paraId="40D71270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EB38D1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Результатами виконання Програми мають стати: </w:t>
      </w:r>
    </w:p>
    <w:p w14:paraId="7BEF7381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визначення об’єктів бюджетної сфери, де комплексна термомодернізація найбільш доцільна (з врахуванням проблем низької ефективності використання енергетичних ресурсів у будівлях); </w:t>
      </w:r>
    </w:p>
    <w:p w14:paraId="2C2F03F1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енергоаудитів у будівлях;</w:t>
      </w:r>
    </w:p>
    <w:p w14:paraId="22B6F391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розробка проектно-кошторисної документації з комплексної термомодернізації будівель на основі проведених енергоаудитів;</w:t>
      </w:r>
    </w:p>
    <w:p w14:paraId="5FAAD24C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робіт з комплексної термомодернізації будівель із залученням коштів місцевого бюджету, а також за можливості – ресурсів державного бюджету та міжнародних фінансових інституцій/ програм.</w:t>
      </w:r>
    </w:p>
    <w:p w14:paraId="37529888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B27AF6" w14:textId="77777777" w:rsidR="00C902C1" w:rsidRPr="00C902C1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До переліку показників оцінки досягнення результатів належать:</w:t>
      </w:r>
    </w:p>
    <w:p w14:paraId="38241C3D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скорочення обсягу споживання енергоресурсів протягом дії програми буде становити не менше ніж 45% або 15 400 Гкал;</w:t>
      </w:r>
    </w:p>
    <w:p w14:paraId="5C5C2727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підвищення рівня комфорту/ якості перебування працівників та відвідувачів;</w:t>
      </w:r>
    </w:p>
    <w:p w14:paraId="5656D896" w14:textId="77777777" w:rsidR="00C902C1" w:rsidRPr="00C902C1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економії бюджетних коштів буде становити до 500 млн гривень за період дії програми (за умови незмінних тарифів на енергоресурси). Дана сума економії є орієнтовною, оскільки не включає в себе інфляційні процеси, ризики пов’язані з війною, ріст тарифів тощо.</w:t>
      </w:r>
    </w:p>
    <w:p w14:paraId="5CBFCF07" w14:textId="44CDC30B" w:rsidR="00C902C1" w:rsidRDefault="00C902C1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4C046F4" w14:textId="7F6EBCD4" w:rsidR="00ED2BC4" w:rsidRDefault="00ED2BC4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C5618C1" w14:textId="2BC774AE" w:rsidR="00A678AA" w:rsidRPr="00C902C1" w:rsidRDefault="00A678AA" w:rsidP="00C902C1">
      <w:pPr>
        <w:tabs>
          <w:tab w:val="left" w:pos="4638"/>
        </w:tabs>
        <w:ind w:left="1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Секретар міської ради</w:t>
      </w: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італій</w:t>
      </w: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ДІДЕНКО</w:t>
      </w:r>
    </w:p>
    <w:p w14:paraId="728884C5" w14:textId="77777777" w:rsidR="00A678AA" w:rsidRDefault="00A678AA" w:rsidP="00C902C1">
      <w:pPr>
        <w:tabs>
          <w:tab w:val="left" w:pos="4638"/>
        </w:tabs>
        <w:ind w:left="1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DB732D4" w14:textId="28236FE6" w:rsidR="00A678AA" w:rsidRPr="00C902C1" w:rsidRDefault="00A678AA" w:rsidP="00C902C1">
      <w:pPr>
        <w:tabs>
          <w:tab w:val="left" w:pos="4638"/>
        </w:tabs>
        <w:ind w:left="1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Завідувач відділу </w:t>
      </w:r>
      <w:proofErr w:type="spellStart"/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енергоменеджменту</w:t>
      </w:r>
      <w:proofErr w:type="spellEnd"/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902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Дмитро ЛЕСЬКІВ</w:t>
      </w:r>
    </w:p>
    <w:p w14:paraId="152133F3" w14:textId="77777777" w:rsidR="00C902C1" w:rsidRPr="00C902C1" w:rsidRDefault="00C902C1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C4AF537" w14:textId="77777777" w:rsidR="00D2226D" w:rsidRPr="00D2226D" w:rsidRDefault="00D2226D" w:rsidP="00D2226D">
      <w:pPr>
        <w:tabs>
          <w:tab w:val="left" w:pos="5084"/>
          <w:tab w:val="left" w:pos="7724"/>
          <w:tab w:val="left" w:pos="10744"/>
          <w:tab w:val="left" w:pos="12352"/>
          <w:tab w:val="left" w:pos="15992"/>
        </w:tabs>
        <w:spacing w:after="0" w:line="240" w:lineRule="auto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</w:p>
    <w:sectPr w:rsidR="00D2226D" w:rsidRPr="00D2226D" w:rsidSect="00D2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5"/>
    <w:rsid w:val="000055B2"/>
    <w:rsid w:val="000706B9"/>
    <w:rsid w:val="00075FDE"/>
    <w:rsid w:val="000B70E0"/>
    <w:rsid w:val="000F2476"/>
    <w:rsid w:val="00123E27"/>
    <w:rsid w:val="001278CD"/>
    <w:rsid w:val="00172F96"/>
    <w:rsid w:val="001C5276"/>
    <w:rsid w:val="001D3332"/>
    <w:rsid w:val="00251097"/>
    <w:rsid w:val="002945FE"/>
    <w:rsid w:val="002A52F4"/>
    <w:rsid w:val="003A0722"/>
    <w:rsid w:val="003D30C1"/>
    <w:rsid w:val="003D588E"/>
    <w:rsid w:val="004A36F2"/>
    <w:rsid w:val="004D3946"/>
    <w:rsid w:val="00590E39"/>
    <w:rsid w:val="005C3C25"/>
    <w:rsid w:val="005C7E7F"/>
    <w:rsid w:val="005E098F"/>
    <w:rsid w:val="0064059F"/>
    <w:rsid w:val="0067786C"/>
    <w:rsid w:val="006C49CD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678AA"/>
    <w:rsid w:val="00A76DE0"/>
    <w:rsid w:val="00A9706E"/>
    <w:rsid w:val="00AB0E02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902C1"/>
    <w:rsid w:val="00CA7C8F"/>
    <w:rsid w:val="00CC772A"/>
    <w:rsid w:val="00D02CB7"/>
    <w:rsid w:val="00D2226D"/>
    <w:rsid w:val="00D258D4"/>
    <w:rsid w:val="00D347BB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2BC4"/>
    <w:rsid w:val="00F3126B"/>
    <w:rsid w:val="00F44E2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2226D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2226D"/>
    <w:rPr>
      <w:color w:val="954F72"/>
      <w:u w:val="single"/>
    </w:rPr>
  </w:style>
  <w:style w:type="paragraph" w:customStyle="1" w:styleId="xl64">
    <w:name w:val="xl64"/>
    <w:basedOn w:val="a"/>
    <w:rsid w:val="00D2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222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222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222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22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222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222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222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Бульба Вікторія Миколаївна</cp:lastModifiedBy>
  <cp:revision>24</cp:revision>
  <cp:lastPrinted>2022-11-02T09:02:00Z</cp:lastPrinted>
  <dcterms:created xsi:type="dcterms:W3CDTF">2022-11-02T08:24:00Z</dcterms:created>
  <dcterms:modified xsi:type="dcterms:W3CDTF">2023-09-28T12:13:00Z</dcterms:modified>
</cp:coreProperties>
</file>