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2D4283" w:rsidP="00F12FF2">
      <w:pPr>
        <w:ind w:left="6372" w:firstLine="1141"/>
        <w:jc w:val="center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 xml:space="preserve">від </w:t>
      </w:r>
      <w:r w:rsidR="00F12FF2">
        <w:rPr>
          <w:lang w:val="uk-UA"/>
        </w:rPr>
        <w:t>26.09.2019</w:t>
      </w:r>
      <w:r>
        <w:rPr>
          <w:lang w:val="uk-UA"/>
        </w:rPr>
        <w:t xml:space="preserve"> р. №</w:t>
      </w:r>
      <w:r w:rsidR="00F12FF2">
        <w:rPr>
          <w:lang w:val="uk-UA"/>
        </w:rPr>
        <w:t xml:space="preserve"> 777</w:t>
      </w:r>
    </w:p>
    <w:p w:rsidR="00F12FF2" w:rsidRDefault="00F12FF2" w:rsidP="002D4283">
      <w:pPr>
        <w:jc w:val="center"/>
        <w:rPr>
          <w:lang w:val="uk-UA"/>
        </w:rPr>
      </w:pP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>Умови передачі в оренду нежитлових приміщен</w:t>
      </w:r>
      <w:r w:rsidR="00F12FF2">
        <w:rPr>
          <w:lang w:val="uk-UA"/>
        </w:rPr>
        <w:t>ь міської комунальної власності</w:t>
      </w:r>
    </w:p>
    <w:p w:rsidR="00C773BE" w:rsidRPr="00F12FF2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2925"/>
        <w:gridCol w:w="2410"/>
        <w:gridCol w:w="1276"/>
        <w:gridCol w:w="3152"/>
        <w:gridCol w:w="1276"/>
        <w:gridCol w:w="2943"/>
      </w:tblGrid>
      <w:tr w:rsidR="002D4283" w:rsidTr="00C94089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2925" w:type="dxa"/>
            <w:vMerge w:val="restart"/>
            <w:shd w:val="clear" w:color="auto" w:fill="auto"/>
          </w:tcPr>
          <w:p w:rsidR="002D4283" w:rsidRDefault="002D4283" w:rsidP="00C94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C94089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292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C94089" w:rsidRDefault="002D4283" w:rsidP="00C94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Загальна площа об’єкта оренди </w:t>
            </w:r>
          </w:p>
          <w:p w:rsidR="002D4283" w:rsidRPr="00D4051D" w:rsidRDefault="002D4283" w:rsidP="00C9408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D4283" w:rsidRPr="00D4051D" w:rsidRDefault="002D4283" w:rsidP="00C9408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3152" w:type="dxa"/>
            <w:shd w:val="clear" w:color="auto" w:fill="auto"/>
          </w:tcPr>
          <w:p w:rsidR="002D4283" w:rsidRDefault="002D4283" w:rsidP="00C94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276" w:type="dxa"/>
            <w:shd w:val="clear" w:color="auto" w:fill="auto"/>
          </w:tcPr>
          <w:p w:rsidR="002D4283" w:rsidRDefault="002D4283" w:rsidP="00C94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2943" w:type="dxa"/>
            <w:shd w:val="clear" w:color="auto" w:fill="auto"/>
          </w:tcPr>
          <w:p w:rsidR="002D4283" w:rsidRDefault="002D4283" w:rsidP="00C94089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3D3E4A" w:rsidTr="00C94089">
        <w:trPr>
          <w:trHeight w:val="970"/>
        </w:trPr>
        <w:tc>
          <w:tcPr>
            <w:tcW w:w="585" w:type="dxa"/>
            <w:shd w:val="clear" w:color="auto" w:fill="auto"/>
          </w:tcPr>
          <w:p w:rsidR="003D3E4A" w:rsidRDefault="003D3E4A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925" w:type="dxa"/>
            <w:shd w:val="clear" w:color="auto" w:fill="auto"/>
          </w:tcPr>
          <w:p w:rsidR="003D3E4A" w:rsidRPr="005A4398" w:rsidRDefault="003D3E4A" w:rsidP="00C94089">
            <w:pPr>
              <w:snapToGrid w:val="0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  <w:r>
              <w:rPr>
                <w:lang w:val="uk-UA"/>
              </w:rPr>
              <w:t>вул. Пілотській, 117/1</w:t>
            </w:r>
          </w:p>
        </w:tc>
        <w:tc>
          <w:tcPr>
            <w:tcW w:w="2410" w:type="dxa"/>
            <w:shd w:val="clear" w:color="auto" w:fill="auto"/>
          </w:tcPr>
          <w:p w:rsidR="003D3E4A" w:rsidRPr="00E80360" w:rsidRDefault="003D3E4A" w:rsidP="00C94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30,9</w:t>
            </w:r>
          </w:p>
        </w:tc>
        <w:tc>
          <w:tcPr>
            <w:tcW w:w="1276" w:type="dxa"/>
            <w:shd w:val="clear" w:color="auto" w:fill="auto"/>
          </w:tcPr>
          <w:p w:rsidR="003D3E4A" w:rsidRPr="00E80360" w:rsidRDefault="003D3E4A" w:rsidP="00C94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30,9</w:t>
            </w:r>
          </w:p>
        </w:tc>
        <w:tc>
          <w:tcPr>
            <w:tcW w:w="3152" w:type="dxa"/>
            <w:shd w:val="clear" w:color="auto" w:fill="auto"/>
          </w:tcPr>
          <w:p w:rsidR="003D3E4A" w:rsidRPr="00717795" w:rsidRDefault="003D3E4A" w:rsidP="00796023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для розміщення перукарні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3E4A" w:rsidRDefault="003D3E4A" w:rsidP="005A439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3D3E4A" w:rsidRPr="00A4465C" w:rsidRDefault="003D3E4A" w:rsidP="005A4398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3D3E4A" w:rsidRPr="00A4465C" w:rsidRDefault="003D3E4A" w:rsidP="003E76CF">
            <w:pPr>
              <w:rPr>
                <w:lang w:val="uk-UA"/>
              </w:rPr>
            </w:pPr>
          </w:p>
        </w:tc>
        <w:tc>
          <w:tcPr>
            <w:tcW w:w="2943" w:type="dxa"/>
            <w:vMerge w:val="restart"/>
            <w:shd w:val="clear" w:color="auto" w:fill="auto"/>
          </w:tcPr>
          <w:p w:rsidR="003D3E4A" w:rsidRDefault="003D3E4A" w:rsidP="00796023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3D3E4A" w:rsidRDefault="003D3E4A" w:rsidP="00F369E1">
            <w:pPr>
              <w:rPr>
                <w:lang w:val="uk-UA"/>
              </w:rPr>
            </w:pPr>
          </w:p>
        </w:tc>
      </w:tr>
      <w:tr w:rsidR="003D3E4A" w:rsidTr="00C94089">
        <w:trPr>
          <w:trHeight w:val="1120"/>
        </w:trPr>
        <w:tc>
          <w:tcPr>
            <w:tcW w:w="585" w:type="dxa"/>
            <w:shd w:val="clear" w:color="auto" w:fill="auto"/>
          </w:tcPr>
          <w:p w:rsidR="003D3E4A" w:rsidRDefault="003D3E4A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925" w:type="dxa"/>
            <w:shd w:val="clear" w:color="auto" w:fill="auto"/>
          </w:tcPr>
          <w:p w:rsidR="00C94089" w:rsidRDefault="003D3E4A" w:rsidP="007B416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</w:t>
            </w:r>
          </w:p>
          <w:p w:rsidR="00C94089" w:rsidRDefault="003D3E4A" w:rsidP="007B416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на четвертому поверсі </w:t>
            </w:r>
          </w:p>
          <w:p w:rsidR="00C94089" w:rsidRDefault="003D3E4A" w:rsidP="007B416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в будинку побуту по </w:t>
            </w:r>
          </w:p>
          <w:p w:rsidR="003D3E4A" w:rsidRDefault="003D3E4A" w:rsidP="007B416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2410" w:type="dxa"/>
            <w:shd w:val="clear" w:color="auto" w:fill="auto"/>
          </w:tcPr>
          <w:p w:rsidR="003D3E4A" w:rsidRDefault="003D3E4A" w:rsidP="00C94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3D3E4A" w:rsidRDefault="003D3E4A" w:rsidP="00C94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45,6</w:t>
            </w:r>
          </w:p>
        </w:tc>
        <w:tc>
          <w:tcPr>
            <w:tcW w:w="3152" w:type="dxa"/>
            <w:shd w:val="clear" w:color="auto" w:fill="auto"/>
          </w:tcPr>
          <w:p w:rsidR="003D3E4A" w:rsidRDefault="00C94089" w:rsidP="003052B6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3D3E4A">
              <w:rPr>
                <w:lang w:val="uk-UA"/>
              </w:rPr>
              <w:t>ля</w:t>
            </w:r>
            <w:r>
              <w:rPr>
                <w:lang w:val="uk-UA"/>
              </w:rPr>
              <w:t xml:space="preserve"> </w:t>
            </w:r>
            <w:r w:rsidR="0071634F">
              <w:rPr>
                <w:lang w:val="uk-UA"/>
              </w:rPr>
              <w:t>надання</w:t>
            </w:r>
            <w:r w:rsidR="003D3E4A">
              <w:rPr>
                <w:lang w:val="uk-UA"/>
              </w:rPr>
              <w:t xml:space="preserve"> послуг по ремонту та обслуговуванню побутової техніки</w:t>
            </w:r>
          </w:p>
        </w:tc>
        <w:tc>
          <w:tcPr>
            <w:tcW w:w="1276" w:type="dxa"/>
            <w:vMerge/>
            <w:shd w:val="clear" w:color="auto" w:fill="auto"/>
          </w:tcPr>
          <w:p w:rsidR="003D3E4A" w:rsidRDefault="003D3E4A" w:rsidP="003E76CF"/>
        </w:tc>
        <w:tc>
          <w:tcPr>
            <w:tcW w:w="2943" w:type="dxa"/>
            <w:vMerge/>
            <w:shd w:val="clear" w:color="auto" w:fill="auto"/>
          </w:tcPr>
          <w:p w:rsidR="003D3E4A" w:rsidRDefault="003D3E4A" w:rsidP="00796023">
            <w:pPr>
              <w:rPr>
                <w:lang w:val="uk-UA"/>
              </w:rPr>
            </w:pPr>
          </w:p>
        </w:tc>
      </w:tr>
    </w:tbl>
    <w:p w:rsidR="00F12FF2" w:rsidRDefault="00F12FF2" w:rsidP="00F369E1">
      <w:pPr>
        <w:ind w:right="-45"/>
        <w:rPr>
          <w:rFonts w:eastAsia="Times New Roman"/>
          <w:color w:val="000000"/>
          <w:lang w:val="uk-UA"/>
        </w:rPr>
      </w:pPr>
    </w:p>
    <w:p w:rsidR="00F12FF2" w:rsidRDefault="00F12FF2" w:rsidP="00F369E1">
      <w:pPr>
        <w:ind w:right="-45"/>
        <w:rPr>
          <w:rFonts w:eastAsia="Times New Roman"/>
          <w:color w:val="000000"/>
          <w:lang w:val="uk-UA"/>
        </w:rPr>
      </w:pPr>
    </w:p>
    <w:p w:rsidR="00F12FF2" w:rsidRDefault="00F12FF2" w:rsidP="00F369E1">
      <w:pPr>
        <w:ind w:right="-45"/>
        <w:rPr>
          <w:rFonts w:eastAsia="Times New Roman"/>
          <w:color w:val="000000"/>
          <w:lang w:val="uk-UA"/>
        </w:rPr>
      </w:pPr>
    </w:p>
    <w:p w:rsidR="00C773BE" w:rsidRPr="00941694" w:rsidRDefault="002D4283" w:rsidP="00F369E1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>Керуючий справами виконавчого комітету</w:t>
      </w:r>
      <w:r w:rsidR="00F12FF2">
        <w:rPr>
          <w:rFonts w:eastAsia="Times New Roman"/>
          <w:color w:val="000000"/>
          <w:lang w:val="uk-UA"/>
        </w:rPr>
        <w:tab/>
      </w:r>
      <w:r w:rsidR="00F12FF2">
        <w:rPr>
          <w:rFonts w:eastAsia="Times New Roman"/>
          <w:color w:val="000000"/>
          <w:lang w:val="uk-UA"/>
        </w:rPr>
        <w:tab/>
      </w:r>
      <w:r w:rsidR="00F12FF2">
        <w:rPr>
          <w:rFonts w:eastAsia="Times New Roman"/>
          <w:color w:val="000000"/>
          <w:lang w:val="uk-UA"/>
        </w:rPr>
        <w:tab/>
      </w:r>
      <w:r w:rsidR="00F12FF2">
        <w:rPr>
          <w:rFonts w:eastAsia="Times New Roman"/>
          <w:color w:val="000000"/>
          <w:lang w:val="uk-UA"/>
        </w:rPr>
        <w:tab/>
      </w:r>
      <w:r w:rsidR="00F12FF2">
        <w:rPr>
          <w:rFonts w:eastAsia="Times New Roman"/>
          <w:color w:val="000000"/>
          <w:lang w:val="uk-UA"/>
        </w:rPr>
        <w:tab/>
      </w:r>
      <w:r w:rsidR="00F12FF2">
        <w:rPr>
          <w:rFonts w:eastAsia="Times New Roman"/>
          <w:color w:val="000000"/>
          <w:lang w:val="uk-UA"/>
        </w:rPr>
        <w:tab/>
      </w:r>
      <w:r w:rsidR="00F12FF2">
        <w:rPr>
          <w:rFonts w:eastAsia="Times New Roman"/>
          <w:color w:val="000000"/>
          <w:lang w:val="uk-UA"/>
        </w:rPr>
        <w:tab/>
      </w:r>
      <w:r w:rsidR="00F12FF2">
        <w:rPr>
          <w:rFonts w:eastAsia="Times New Roman"/>
          <w:color w:val="000000"/>
          <w:lang w:val="uk-UA"/>
        </w:rPr>
        <w:tab/>
      </w:r>
      <w:r w:rsidR="00F12FF2">
        <w:rPr>
          <w:rFonts w:eastAsia="Times New Roman"/>
          <w:color w:val="000000"/>
          <w:lang w:val="uk-UA"/>
        </w:rPr>
        <w:tab/>
      </w:r>
      <w:bookmarkStart w:id="0" w:name="_GoBack"/>
      <w:bookmarkEnd w:id="0"/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3D3E4A">
      <w:pgSz w:w="16838" w:h="11906" w:orient="landscape"/>
      <w:pgMar w:top="1418" w:right="567" w:bottom="1418" w:left="1701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48C" w:rsidRDefault="003A748C" w:rsidP="008D6345">
      <w:r>
        <w:separator/>
      </w:r>
    </w:p>
  </w:endnote>
  <w:endnote w:type="continuationSeparator" w:id="0">
    <w:p w:rsidR="003A748C" w:rsidRDefault="003A748C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48C" w:rsidRDefault="003A748C" w:rsidP="008D6345">
      <w:r>
        <w:separator/>
      </w:r>
    </w:p>
  </w:footnote>
  <w:footnote w:type="continuationSeparator" w:id="0">
    <w:p w:rsidR="003A748C" w:rsidRDefault="003A748C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F63BD"/>
    <w:rsid w:val="00104351"/>
    <w:rsid w:val="00104AE0"/>
    <w:rsid w:val="00105B0D"/>
    <w:rsid w:val="001D453E"/>
    <w:rsid w:val="00233A27"/>
    <w:rsid w:val="0023541A"/>
    <w:rsid w:val="00247EA6"/>
    <w:rsid w:val="00291B1A"/>
    <w:rsid w:val="002D4283"/>
    <w:rsid w:val="002F2A8C"/>
    <w:rsid w:val="002F5A1C"/>
    <w:rsid w:val="003052B6"/>
    <w:rsid w:val="00332F17"/>
    <w:rsid w:val="003442C4"/>
    <w:rsid w:val="003478FB"/>
    <w:rsid w:val="003A748C"/>
    <w:rsid w:val="003B2979"/>
    <w:rsid w:val="003C46E5"/>
    <w:rsid w:val="003D3E4A"/>
    <w:rsid w:val="003E76CF"/>
    <w:rsid w:val="00422068"/>
    <w:rsid w:val="00440FEF"/>
    <w:rsid w:val="00471675"/>
    <w:rsid w:val="004A1709"/>
    <w:rsid w:val="004D53FB"/>
    <w:rsid w:val="004E3B4B"/>
    <w:rsid w:val="004F4B5F"/>
    <w:rsid w:val="005271C2"/>
    <w:rsid w:val="0054078F"/>
    <w:rsid w:val="0056443F"/>
    <w:rsid w:val="00570B76"/>
    <w:rsid w:val="00595924"/>
    <w:rsid w:val="005A4398"/>
    <w:rsid w:val="005B6F61"/>
    <w:rsid w:val="005D49A2"/>
    <w:rsid w:val="005F295B"/>
    <w:rsid w:val="005F76DB"/>
    <w:rsid w:val="005F7C93"/>
    <w:rsid w:val="006303E0"/>
    <w:rsid w:val="00634699"/>
    <w:rsid w:val="00634CF0"/>
    <w:rsid w:val="00642C0A"/>
    <w:rsid w:val="00697E13"/>
    <w:rsid w:val="006C46FF"/>
    <w:rsid w:val="0071634F"/>
    <w:rsid w:val="00755F0D"/>
    <w:rsid w:val="00757514"/>
    <w:rsid w:val="0076183A"/>
    <w:rsid w:val="0078475D"/>
    <w:rsid w:val="00796023"/>
    <w:rsid w:val="007A55F7"/>
    <w:rsid w:val="007B416F"/>
    <w:rsid w:val="007E2E2D"/>
    <w:rsid w:val="00845FEE"/>
    <w:rsid w:val="00871556"/>
    <w:rsid w:val="008C19D7"/>
    <w:rsid w:val="008D6345"/>
    <w:rsid w:val="008E41DB"/>
    <w:rsid w:val="00941694"/>
    <w:rsid w:val="00942627"/>
    <w:rsid w:val="009550B8"/>
    <w:rsid w:val="00995C1A"/>
    <w:rsid w:val="009E532E"/>
    <w:rsid w:val="009E7461"/>
    <w:rsid w:val="00A40740"/>
    <w:rsid w:val="00AC67EF"/>
    <w:rsid w:val="00AD0039"/>
    <w:rsid w:val="00AF6457"/>
    <w:rsid w:val="00B26210"/>
    <w:rsid w:val="00B67D08"/>
    <w:rsid w:val="00B809B8"/>
    <w:rsid w:val="00BE342D"/>
    <w:rsid w:val="00C34C8A"/>
    <w:rsid w:val="00C35003"/>
    <w:rsid w:val="00C354A0"/>
    <w:rsid w:val="00C373D8"/>
    <w:rsid w:val="00C773BE"/>
    <w:rsid w:val="00C83FFF"/>
    <w:rsid w:val="00C87830"/>
    <w:rsid w:val="00C94089"/>
    <w:rsid w:val="00CD608A"/>
    <w:rsid w:val="00D35E2D"/>
    <w:rsid w:val="00D4051D"/>
    <w:rsid w:val="00D91383"/>
    <w:rsid w:val="00D9754B"/>
    <w:rsid w:val="00DD22BF"/>
    <w:rsid w:val="00DF048B"/>
    <w:rsid w:val="00DF5CD9"/>
    <w:rsid w:val="00E046F4"/>
    <w:rsid w:val="00E079E9"/>
    <w:rsid w:val="00E41439"/>
    <w:rsid w:val="00E51B8D"/>
    <w:rsid w:val="00EA570C"/>
    <w:rsid w:val="00EA623A"/>
    <w:rsid w:val="00EA7CBF"/>
    <w:rsid w:val="00EC720D"/>
    <w:rsid w:val="00F033BD"/>
    <w:rsid w:val="00F07B71"/>
    <w:rsid w:val="00F12FF2"/>
    <w:rsid w:val="00F360DF"/>
    <w:rsid w:val="00F369E1"/>
    <w:rsid w:val="00F43E28"/>
    <w:rsid w:val="00F777DD"/>
    <w:rsid w:val="00F91CDA"/>
    <w:rsid w:val="00FA1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482D7-5AE9-44AE-8A0D-D11A2B8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488E-2AA9-4AB8-A0B5-1653A109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22</cp:revision>
  <cp:lastPrinted>2019-09-20T12:20:00Z</cp:lastPrinted>
  <dcterms:created xsi:type="dcterms:W3CDTF">2019-04-25T14:35:00Z</dcterms:created>
  <dcterms:modified xsi:type="dcterms:W3CDTF">2019-10-01T13:40:00Z</dcterms:modified>
</cp:coreProperties>
</file>